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¿Necesita los documentos, no solo la respuesta?</w:t>
      </w:r>
      <w:r>
        <w:rPr/>
        <w:t xml:space="preserve"> Evaluación de impacto relativa a los derechos fundamentales (art. 27), borrador de documentación técnica (anexo IV), plan de alfabetización en IA (art. 4) y avisos del art. 50, redactados a partir de sus respuestas y firmados, en español — PDF + Markdown editable. Sin ledger ni integración. https://attest.piratefly.com/es/pack/?src=template-ai-literacy</w:t>
      </w:r>
    </w:p>
    <w:p>
      <w:pPr>
        <w:pStyle w:val="Heading2"/>
      </w:pPr>
      <w:r>
        <w:rPr/>
        <w:t xml:space="preserve">3. Plan de alfabetización en materia de IA (art. 4, aplicable desde el 2 de febrero de 2025)</w:t>
      </w:r>
    </w:p>
    <w:p>
      <w:r>
        <w:rPr/>
        <w:t xml:space="preserve">[pendiente de completar] adopta medidas para garantizar un nivel suficiente de alfabetización en materia de IA de su personal y de las demás personas que se ocupen del funcionamiento y la utilización de [pendiente de completar] por su cuenta, teniendo en cuenta sus conocimientos técnicos, experiencia, educación y formación, así como el contexto de uso previsto.</w:t>
      </w:r>
    </w:p>
    <w:p>
      <w:r>
        <w:rPr>
          <w:b/>
        </w:rPr>
        <w:t xml:space="preserve">Personas afectadas:</w:t>
      </w:r>
      <w:r>
        <w:rPr/>
        <w:t xml:space="preserve"> </w:t>
      </w:r>
      <w:r>
        <w:rPr>
          <w:b/>
        </w:rPr>
        <w:t xml:space="preserve">[pendiente de completar: funciones y número de personas que operan, supervisan o deciden sobre la base del sistema]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/>
        <w:gridCol/>
        <w:gridCol/>
        <w:gridCol/>
        <w:gridCol/>
      </w:tblGrid>
      <w:tr>
        <w:tc>
          <w:tcPr>
            <w:tcW w:w="0" w:type="auto"/>
          </w:tcPr>
          <w:p>
            <w:r>
              <w:rPr/>
              <w:t xml:space="preserve">Módulo</w:t>
            </w:r>
          </w:p>
        </w:tc>
        <w:tc>
          <w:tcPr>
            <w:tcW w:w="0" w:type="auto"/>
          </w:tcPr>
          <w:p>
            <w:r>
              <w:rPr/>
              <w:t xml:space="preserve">Destinatarios</w:t>
            </w:r>
          </w:p>
        </w:tc>
        <w:tc>
          <w:tcPr>
            <w:tcW w:w="0" w:type="auto"/>
          </w:tcPr>
          <w:p>
            <w:r>
              <w:rPr/>
              <w:t xml:space="preserve">Contenido</w:t>
            </w:r>
          </w:p>
        </w:tc>
        <w:tc>
          <w:tcPr>
            <w:tcW w:w="0" w:type="auto"/>
          </w:tcPr>
          <w:p>
            <w:r>
              <w:rPr/>
              <w:t xml:space="preserve">Duración</w:t>
            </w:r>
          </w:p>
        </w:tc>
        <w:tc>
          <w:tcPr>
            <w:tcW w:w="0" w:type="auto"/>
          </w:tcPr>
          <w:p>
            <w:r>
              <w:rPr/>
              <w:t xml:space="preserve">Cuándo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A. Qué hace el sistema</w:t>
            </w:r>
          </w:p>
        </w:tc>
        <w:tc>
          <w:tcPr>
            <w:tcW w:w="0" w:type="auto"/>
          </w:tcPr>
          <w:p>
            <w:r>
              <w:rPr/>
              <w:t xml:space="preserve">Todas las personas afectadas</w:t>
            </w:r>
          </w:p>
        </w:tc>
        <w:tc>
          <w:tcPr>
            <w:tcW w:w="0" w:type="auto"/>
          </w:tcPr>
          <w:p>
            <w:r>
              <w:rPr/>
              <w:t xml:space="preserve">Finalidad (según lo documentado), capacidades, limitaciones conocidas, modos de error</w:t>
            </w:r>
          </w:p>
        </w:tc>
        <w:tc>
          <w:tcPr>
            <w:tcW w:w="0" w:type="auto"/>
          </w:tcPr>
          <w:p>
            <w:r>
              <w:rPr/>
              <w:t xml:space="preserve">45 min</w:t>
            </w:r>
          </w:p>
        </w:tc>
        <w:tc>
          <w:tcPr>
            <w:tcW w:w="0" w:type="auto"/>
          </w:tcPr>
          <w:p>
            <w:r>
              <w:rPr/>
              <w:t xml:space="preserve">Antes del primer uso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B. La supervisión en la práctica</w:t>
            </w:r>
          </w:p>
        </w:tc>
        <w:tc>
          <w:tcPr>
            <w:tcW w:w="0" w:type="auto"/>
          </w:tcPr>
          <w:p>
            <w:r>
              <w:rPr/>
              <w:t xml:space="preserve">Operadores y revisores</w:t>
            </w:r>
          </w:p>
        </w:tc>
        <w:tc>
          <w:tcPr>
            <w:tcW w:w="0" w:type="auto"/>
          </w:tcPr>
          <w:p>
            <w:r>
              <w:rPr/>
              <w:t xml:space="preserve">Cuándo anular o detener el sistema, sesgo de automatización, vía de escalado, obligaciones de registro</w:t>
            </w:r>
          </w:p>
        </w:tc>
        <w:tc>
          <w:tcPr>
            <w:tcW w:w="0" w:type="auto"/>
          </w:tcPr>
          <w:p>
            <w:r>
              <w:rPr/>
              <w:t xml:space="preserve">60 min</w:t>
            </w:r>
          </w:p>
        </w:tc>
        <w:tc>
          <w:tcPr>
            <w:tcW w:w="0" w:type="auto"/>
          </w:tcPr>
          <w:p>
            <w:r>
              <w:rPr/>
              <w:t xml:space="preserve">Antes del primer uso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C. Derechos y datos</w:t>
            </w:r>
          </w:p>
        </w:tc>
        <w:tc>
          <w:tcPr>
            <w:tcW w:w="0" w:type="auto"/>
          </w:tcPr>
          <w:p>
            <w:r>
              <w:rPr/>
              <w:t xml:space="preserve">Operadores, responsables</w:t>
            </w:r>
          </w:p>
        </w:tc>
        <w:tc>
          <w:tcPr>
            <w:tcW w:w="0" w:type="auto"/>
          </w:tcPr>
          <w:p>
            <w:r>
              <w:rPr/>
              <w:t xml:space="preserve">Personas afectadas, riesgo de discriminación, datos personales, avisos de transparencia</w:t>
            </w:r>
          </w:p>
        </w:tc>
        <w:tc>
          <w:tcPr>
            <w:tcW w:w="0" w:type="auto"/>
          </w:tcPr>
          <w:p>
            <w:r>
              <w:rPr/>
              <w:t xml:space="preserve">45 min</w:t>
            </w:r>
          </w:p>
        </w:tc>
        <w:tc>
          <w:tcPr>
            <w:tcW w:w="0" w:type="auto"/>
          </w:tcPr>
          <w:p>
            <w:r>
              <w:rPr/>
              <w:t xml:space="preserve">Antes del primer uso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D. Incidentes</w:t>
            </w:r>
          </w:p>
        </w:tc>
        <w:tc>
          <w:tcPr>
            <w:tcW w:w="0" w:type="auto"/>
          </w:tcPr>
          <w:p>
            <w:r>
              <w:rPr/>
              <w:t xml:space="preserve">Responsables, TI</w:t>
            </w:r>
          </w:p>
        </w:tc>
        <w:tc>
          <w:tcPr>
            <w:tcW w:w="0" w:type="auto"/>
          </w:tcPr>
          <w:p>
            <w:r>
              <w:rPr/>
              <w:t xml:space="preserve">Qué es un incidente grave, quién lo notifica, plazos del art. 73</w:t>
            </w:r>
          </w:p>
        </w:tc>
        <w:tc>
          <w:tcPr>
            <w:tcW w:w="0" w:type="auto"/>
          </w:tcPr>
          <w:p>
            <w:r>
              <w:rPr/>
              <w:t xml:space="preserve">30 min</w:t>
            </w:r>
          </w:p>
        </w:tc>
        <w:tc>
          <w:tcPr>
            <w:tcW w:w="0" w:type="auto"/>
          </w:tcPr>
          <w:p>
            <w:r>
              <w:rPr/>
              <w:t xml:space="preserve">Anual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Actualización</w:t>
            </w:r>
          </w:p>
        </w:tc>
        <w:tc>
          <w:tcPr>
            <w:tcW w:w="0" w:type="auto"/>
          </w:tcPr>
          <w:p>
            <w:r>
              <w:rPr/>
              <w:t xml:space="preserve">Todas las personas afectadas</w:t>
            </w:r>
          </w:p>
        </w:tc>
        <w:tc>
          <w:tcPr>
            <w:tcW w:w="0" w:type="auto"/>
          </w:tcPr>
          <w:p>
            <w:r>
              <w:rPr/>
              <w:t xml:space="preserve">Cambios en el sistema, lecciones extraídas de incidentes y reclamaciones</w:t>
            </w:r>
          </w:p>
        </w:tc>
        <w:tc>
          <w:tcPr>
            <w:tcW w:w="0" w:type="auto"/>
          </w:tcPr>
          <w:p>
            <w:r>
              <w:rPr/>
              <w:t xml:space="preserve">30 min</w:t>
            </w:r>
          </w:p>
        </w:tc>
        <w:tc>
          <w:tcPr>
            <w:tcW w:w="0" w:type="auto"/>
          </w:tcPr>
          <w:p>
            <w:r>
              <w:rPr/>
              <w:t xml:space="preserve">Anual y en cada actualización relevante</w:t>
            </w:r>
          </w:p>
        </w:tc>
      </w:tr>
    </w:tbl>
    <w:p/>
    <w:p>
      <w:r>
        <w:rPr>
          <w:b/>
        </w:rPr>
        <w:t xml:space="preserve">Registros conservados:</w:t>
      </w:r>
      <w:r>
        <w:rPr/>
        <w:t xml:space="preserve"> asistente, módulo, fecha, formador, breve comprobación de comprensión. Responsable: </w:t>
      </w:r>
      <w:r>
        <w:rPr>
          <w:b/>
        </w:rPr>
        <w:t xml:space="preserve">[nombre, cargo]</w:t>
      </w:r>
      <w:r>
        <w:rPr/>
        <w:t xml:space="preserve">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es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