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Need the documents, not just the answer?</w:t>
      </w:r>
      <w:r>
        <w:rPr/>
        <w:t xml:space="preserve"> FRIA (Art. 27), Annex IV technical documentation draft, AI literacy plan (Art. 4) and Art. 50 notices, drafted from your answers and signed — PDF + editable Markdown. No ledger or integration needed. https://attest.piratefly.com/pack/?src=template-annex-iv</w:t>
      </w:r>
    </w:p>
    <w:p>
      <w:pPr>
        <w:pStyle w:val="Heading2"/>
      </w:pPr>
      <w:r>
        <w:rPr/>
        <w:t xml:space="preserve">2. Technical documentation draft (Art. 11, Annex IV)</w:t>
      </w:r>
    </w:p>
    <w:p>
      <w:r>
        <w:rPr/>
        <w:t xml:space="preserve">As a </w:t>
      </w:r>
      <w:r>
        <w:rPr>
          <w:b/>
        </w:rPr>
        <w:t xml:space="preserve">deployer</w:t>
      </w:r>
      <w:r>
        <w:rPr/>
        <w:t xml:space="preserve">, [to complete] does not draw up this documentation: the provider does. Use this structure as the checklist of what to request and file, together with the instructions for use (Art. 13).</w:t>
      </w:r>
    </w:p>
    <w:p>
      <w:r>
        <w:rPr/>
        <w:t xml:space="preserve">1. </w:t>
      </w:r>
      <w:r>
        <w:rPr>
          <w:b/>
        </w:rPr>
        <w:t xml:space="preserve">General description</w:t>
      </w:r>
      <w:r>
        <w:rPr/>
        <w:t xml:space="preserve"> — intended purpose: </w:t>
      </w:r>
      <w:r>
        <w:rPr>
          <w:b/>
        </w:rPr>
        <w:t xml:space="preserve">[to complete: intended purpose]</w:t>
      </w:r>
      <w:r>
        <w:rPr/>
        <w:t xml:space="preserve">; provider: </w:t>
      </w:r>
      <w:r>
        <w:rPr>
          <w:b/>
        </w:rPr>
        <w:t xml:space="preserve">[provider name]</w:t>
      </w:r>
      <w:r>
        <w:rPr/>
        <w:t xml:space="preserve">; version, hardware and software it runs on, interaction with other systems, forms in which it is placed on the market, user interface, instructions for use.</w:t>
      </w:r>
    </w:p>
    <w:p>
      <w:r>
        <w:rPr/>
        <w:t xml:space="preserve">2. </w:t>
      </w:r>
      <w:r>
        <w:rPr>
          <w:b/>
        </w:rPr>
        <w:t xml:space="preserve">Development process</w:t>
      </w:r>
      <w:r>
        <w:rPr/>
        <w:t xml:space="preserve"> — methods and steps, pre-trained systems or third-party tools used, design specifications and key choices (including trade-offs), system architecture, data requirements and datasheets (provenance, scope, labelling, cleaning), human oversight assessment (Art. 14), pre-determined changes, validation and testing procedures with metrics and test logs signed and dated.</w:t>
      </w:r>
    </w:p>
    <w:p>
      <w:r>
        <w:rPr/>
        <w:t xml:space="preserve">3. </w:t>
      </w:r>
      <w:r>
        <w:rPr>
          <w:b/>
        </w:rPr>
        <w:t xml:space="preserve">Monitoring, functioning and control</w:t>
      </w:r>
      <w:r>
        <w:rPr/>
        <w:t xml:space="preserve"> — capabilities and limitations, expected accuracy for the persons or groups on which it is used (</w:t>
      </w:r>
      <w:r>
        <w:rPr>
          <w:b/>
        </w:rPr>
        <w:t xml:space="preserve">[to complete: affected groups]</w:t>
      </w:r>
      <w:r>
        <w:rPr/>
        <w:t xml:space="preserve">), foreseeable unintended outcomes and risks, human oversight measures (</w:t>
      </w:r>
      <w:r>
        <w:rPr>
          <w:b/>
        </w:rPr>
        <w:t xml:space="preserve">[to complete: oversight measures]</w:t>
      </w:r>
      <w:r>
        <w:rPr/>
        <w:t xml:space="preserve">), input data specifications (</w:t>
      </w:r>
      <w:r>
        <w:rPr>
          <w:b/>
        </w:rPr>
        <w:t xml:space="preserve">[to complete: input data]</w:t>
      </w:r>
      <w:r>
        <w:rPr/>
        <w:t xml:space="preserve">).</w:t>
      </w:r>
    </w:p>
    <w:p>
      <w:r>
        <w:rPr/>
        <w:t xml:space="preserve">4. </w:t>
      </w:r>
      <w:r>
        <w:rPr>
          <w:b/>
        </w:rPr>
        <w:t xml:space="preserve">Appropriateness of the performance metrics.</w:t>
      </w:r>
    </w:p>
    <w:p>
      <w:r>
        <w:rPr/>
        <w:t xml:space="preserve">5. </w:t>
      </w:r>
      <w:r>
        <w:rPr>
          <w:b/>
        </w:rPr>
        <w:t xml:space="preserve">Risk management system</w:t>
      </w:r>
      <w:r>
        <w:rPr/>
        <w:t xml:space="preserve"> (Art. 9).</w:t>
      </w:r>
    </w:p>
    <w:p>
      <w:r>
        <w:rPr/>
        <w:t xml:space="preserve">6. </w:t>
      </w:r>
      <w:r>
        <w:rPr>
          <w:b/>
        </w:rPr>
        <w:t xml:space="preserve">Relevant changes</w:t>
      </w:r>
      <w:r>
        <w:rPr/>
        <w:t xml:space="preserve"> made through the lifecycle.</w:t>
      </w:r>
    </w:p>
    <w:p>
      <w:r>
        <w:rPr/>
        <w:t xml:space="preserve">7. </w:t>
      </w:r>
      <w:r>
        <w:rPr>
          <w:b/>
        </w:rPr>
        <w:t xml:space="preserve">Harmonised standards applied</w:t>
      </w:r>
      <w:r>
        <w:rPr/>
        <w:t xml:space="preserve">, or other solutions used to meet Chapter III Section 2.</w:t>
      </w:r>
    </w:p>
    <w:p>
      <w:r>
        <w:rPr/>
        <w:t xml:space="preserve">8. </w:t>
      </w:r>
      <w:r>
        <w:rPr>
          <w:b/>
        </w:rPr>
        <w:t xml:space="preserve">EU declaration of conformity</w:t>
      </w:r>
      <w:r>
        <w:rPr/>
        <w:t xml:space="preserve"> (Art. 47).</w:t>
      </w:r>
    </w:p>
    <w:p>
      <w:r>
        <w:rPr/>
        <w:t xml:space="preserve">9. </w:t>
      </w:r>
      <w:r>
        <w:rPr>
          <w:b/>
        </w:rPr>
        <w:t xml:space="preserve">Post-market monitoring plan</w:t>
      </w:r>
      <w:r>
        <w:rPr/>
        <w:t xml:space="preserve"> (Art. 72), including the logging that feeds it (Art. 12: automatic recording of events over the lifetime of the system).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en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