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¿Necesita los documentos, no solo la respuesta?</w:t>
      </w:r>
      <w:r>
        <w:rPr/>
        <w:t xml:space="preserve"> Evaluación de impacto relativa a los derechos fundamentales (art. 27), borrador de documentación técnica (anexo IV), plan de alfabetización en IA (art. 4) y avisos del art. 50, redactados a partir de sus respuestas y firmados, en español — PDF + Markdown editable. Sin ledger ni integración. https://attest.piratefly.com/es/pack/?src=template-annex-iv</w:t>
      </w:r>
    </w:p>
    <w:p>
      <w:pPr>
        <w:pStyle w:val="Heading2"/>
      </w:pPr>
      <w:r>
        <w:rPr/>
        <w:t xml:space="preserve">2. Borrador de documentación técnica (art. 11, anexo IV)</w:t>
      </w:r>
    </w:p>
    <w:p>
      <w:r>
        <w:rPr/>
        <w:t xml:space="preserve">Como </w:t>
      </w:r>
      <w:r>
        <w:rPr>
          <w:b/>
        </w:rPr>
        <w:t xml:space="preserve">responsable del despliegue</w:t>
      </w:r>
      <w:r>
        <w:rPr/>
        <w:t xml:space="preserve">, [pendiente de completar] no elabora esta documentación: la elabora el proveedor. Utilice esta estructura como lista de comprobación de lo que debe solicitar y archivar, junto con las instrucciones de uso (art. 13).</w:t>
      </w:r>
    </w:p>
    <w:p>
      <w:r>
        <w:rPr/>
        <w:t xml:space="preserve">1. </w:t>
      </w:r>
      <w:r>
        <w:rPr>
          <w:b/>
        </w:rPr>
        <w:t xml:space="preserve">Descripción general</w:t>
      </w:r>
      <w:r>
        <w:rPr/>
        <w:t xml:space="preserve"> — finalidad prevista: </w:t>
      </w:r>
      <w:r>
        <w:rPr>
          <w:b/>
        </w:rPr>
        <w:t xml:space="preserve">[pendiente de completar: finalidad prevista]</w:t>
      </w:r>
      <w:r>
        <w:rPr/>
        <w:t xml:space="preserve">; proveedor: </w:t>
      </w:r>
      <w:r>
        <w:rPr>
          <w:b/>
        </w:rPr>
        <w:t xml:space="preserve">[nombre del proveedor]</w:t>
      </w:r>
      <w:r>
        <w:rPr/>
        <w:t xml:space="preserve">; versión, hardware y software sobre el que funciona, interacción con otros sistemas, formas de comercialización, interfaz de usuario, instrucciones de uso.</w:t>
      </w:r>
    </w:p>
    <w:p>
      <w:r>
        <w:rPr/>
        <w:t xml:space="preserve">2. </w:t>
      </w:r>
      <w:r>
        <w:rPr>
          <w:b/>
        </w:rPr>
        <w:t xml:space="preserve">Proceso de desarrollo</w:t>
      </w:r>
      <w:r>
        <w:rPr/>
        <w:t xml:space="preserve"> — métodos y pasos seguidos, sistemas preentrenados o herramientas de terceros utilizados, especificaciones de diseño y decisiones clave (incluidas las soluciones de compromiso), arquitectura del sistema, requisitos de datos y fichas de datos (procedencia, alcance, etiquetado, depuración), evaluación de la supervisión humana (art. 14), cambios predeterminados, procedimientos de validación y ensayo con métricas y registros de ensayo firmados y fechados.</w:t>
      </w:r>
    </w:p>
    <w:p>
      <w:r>
        <w:rPr/>
        <w:t xml:space="preserve">3. </w:t>
      </w:r>
      <w:r>
        <w:rPr>
          <w:b/>
        </w:rPr>
        <w:t xml:space="preserve">Seguimiento, funcionamiento y control</w:t>
      </w:r>
      <w:r>
        <w:rPr/>
        <w:t xml:space="preserve"> — capacidades y limitaciones, exactitud esperada para las personas o grupos sobre los que se utiliza (</w:t>
      </w:r>
      <w:r>
        <w:rPr>
          <w:b/>
        </w:rPr>
        <w:t xml:space="preserve">[pendiente de completar: grupos afectados]</w:t>
      </w:r>
      <w:r>
        <w:rPr/>
        <w:t xml:space="preserve">), resultados y riesgos no deseados previsibles, medidas de supervisión humana (</w:t>
      </w:r>
      <w:r>
        <w:rPr>
          <w:b/>
        </w:rPr>
        <w:t xml:space="preserve">[pendiente de completar: medidas de supervisión]</w:t>
      </w:r>
      <w:r>
        <w:rPr/>
        <w:t xml:space="preserve">), especificaciones de los datos de entrada (</w:t>
      </w:r>
      <w:r>
        <w:rPr>
          <w:b/>
        </w:rPr>
        <w:t xml:space="preserve">[pendiente de completar: datos de entrada]</w:t>
      </w:r>
      <w:r>
        <w:rPr/>
        <w:t xml:space="preserve">).</w:t>
      </w:r>
    </w:p>
    <w:p>
      <w:r>
        <w:rPr/>
        <w:t xml:space="preserve">4. </w:t>
      </w:r>
      <w:r>
        <w:rPr>
          <w:b/>
        </w:rPr>
        <w:t xml:space="preserve">Idoneidad de las métricas de rendimiento.</w:t>
      </w:r>
    </w:p>
    <w:p>
      <w:r>
        <w:rPr/>
        <w:t xml:space="preserve">5. </w:t>
      </w:r>
      <w:r>
        <w:rPr>
          <w:b/>
        </w:rPr>
        <w:t xml:space="preserve">Sistema de gestión de riesgos</w:t>
      </w:r>
      <w:r>
        <w:rPr/>
        <w:t xml:space="preserve"> (art. 9).</w:t>
      </w:r>
    </w:p>
    <w:p>
      <w:r>
        <w:rPr/>
        <w:t xml:space="preserve">6. </w:t>
      </w:r>
      <w:r>
        <w:rPr>
          <w:b/>
        </w:rPr>
        <w:t xml:space="preserve">Cambios pertinentes</w:t>
      </w:r>
      <w:r>
        <w:rPr/>
        <w:t xml:space="preserve"> introducidos a lo largo del ciclo de vida.</w:t>
      </w:r>
    </w:p>
    <w:p>
      <w:r>
        <w:rPr/>
        <w:t xml:space="preserve">7. </w:t>
      </w:r>
      <w:r>
        <w:rPr>
          <w:b/>
        </w:rPr>
        <w:t xml:space="preserve">Normas armonizadas aplicadas</w:t>
      </w:r>
      <w:r>
        <w:rPr/>
        <w:t xml:space="preserve">, u otras soluciones utilizadas para cumplir el capítulo III, sección 2.</w:t>
      </w:r>
    </w:p>
    <w:p>
      <w:r>
        <w:rPr/>
        <w:t xml:space="preserve">8. </w:t>
      </w:r>
      <w:r>
        <w:rPr>
          <w:b/>
        </w:rPr>
        <w:t xml:space="preserve">Declaración UE de conformidad</w:t>
      </w:r>
      <w:r>
        <w:rPr/>
        <w:t xml:space="preserve"> (art. 47).</w:t>
      </w:r>
    </w:p>
    <w:p>
      <w:r>
        <w:rPr/>
        <w:t xml:space="preserve">9. </w:t>
      </w:r>
      <w:r>
        <w:rPr>
          <w:b/>
        </w:rPr>
        <w:t xml:space="preserve">Plan de vigilancia poscomercialización</w:t>
      </w:r>
      <w:r>
        <w:rPr/>
        <w:t xml:space="preserve"> (art. 72), incluido el registro que lo alimenta (art. 12: registro automático de eventos durante la vida útil del sistema).</w:t>
      </w:r>
    </w:p>
    <w:sectPr>
      <w:pgSz w:w="11906" w:h="16838"/>
      <w:pgMar w:top="1134" w:right="1134" w:bottom="1134" w:left="113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lang w:val="es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spacing w:before="240" w:after="80"/>
    </w:pPr>
    <w:rPr>
      <w:b/>
      <w:sz w:val="32"/>
    </w:rPr>
  </w:style>
  <w:style w:type="paragraph" w:styleId="Heading2">
    <w:name w:val="Heading 2"/>
    <w:basedOn w:val="Normal"/>
    <w:pPr>
      <w:spacing w:before="240" w:after="80"/>
    </w:pPr>
    <w:rPr>
      <w:b/>
      <w:sz w:val="28"/>
    </w:rPr>
  </w:style>
  <w:style w:type="paragraph" w:styleId="Heading3">
    <w:name w:val="Heading 3"/>
    <w:basedOn w:val="Normal"/>
    <w:pPr>
      <w:spacing w:before="240" w:after="80"/>
    </w:pPr>
    <w:rPr>
      <w:b/>
      <w:sz w:val="24"/>
    </w:rPr>
  </w:style>
  <w:style w:type="paragraph" w:styleId="Code">
    <w:name w:val="Code"/>
    <w:basedOn w:val="Normal"/>
    <w:pPr>
      <w:spacing w:after="0"/>
      <w:shd w:val="clear" w:fill="F2F2F2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