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Besoin des documents, pas seulement de la réponse ?</w:t>
      </w:r>
      <w:r>
        <w:rPr/>
        <w:t xml:space="preserve"> Analyse d'impact sur les droits fondamentaux (art. 27), projet de documentation technique (annexe IV), plan de maîtrise de l'IA (art. 4) et mentions de l'art. 50, rédigés à partir de vos réponses et signés, en français — PDF + Markdown modifiable. Sans ledger ni intégration. https://attest.piratefly.com/fr/pack/?src=template-annex-iv</w:t>
      </w:r>
    </w:p>
    <w:p>
      <w:pPr>
        <w:pStyle w:val="Heading2"/>
      </w:pPr>
      <w:r>
        <w:rPr/>
        <w:t xml:space="preserve">2. Projet de documentation technique (art. 11, annexe IV)</w:t>
      </w:r>
    </w:p>
    <w:p>
      <w:r>
        <w:rPr/>
        <w:t xml:space="preserve">En tant que </w:t>
      </w:r>
      <w:r>
        <w:rPr>
          <w:b/>
        </w:rPr>
        <w:t xml:space="preserve">déployeur</w:t>
      </w:r>
      <w:r>
        <w:rPr/>
        <w:t xml:space="preserve">, [à compléter] n'établit pas cette documentation : c'est le fournisseur qui s'en charge. Utilisez cette structure comme liste de contrôle de ce qu'il faut demander et archiver, avec la notice d'utilisation (art. 13).</w:t>
      </w:r>
    </w:p>
    <w:p>
      <w:r>
        <w:rPr/>
        <w:t xml:space="preserve">1. </w:t>
      </w:r>
      <w:r>
        <w:rPr>
          <w:b/>
        </w:rPr>
        <w:t xml:space="preserve">Description générale</w:t>
      </w:r>
      <w:r>
        <w:rPr/>
        <w:t xml:space="preserve"> — finalité prévue : </w:t>
      </w:r>
      <w:r>
        <w:rPr>
          <w:b/>
        </w:rPr>
        <w:t xml:space="preserve">[à compléter: finalité prévue]</w:t>
      </w:r>
      <w:r>
        <w:rPr/>
        <w:t xml:space="preserve"> ; fournisseur : </w:t>
      </w:r>
      <w:r>
        <w:rPr>
          <w:b/>
        </w:rPr>
        <w:t xml:space="preserve">[nom du fournisseur]</w:t>
      </w:r>
      <w:r>
        <w:rPr/>
        <w:t xml:space="preserve"> ; version, matériel et logiciel sur lesquels il fonctionne, interaction avec d'autres systèmes, formes sous lesquelles il est mis sur le marché, interface utilisateur, notice d'utilisation.</w:t>
      </w:r>
    </w:p>
    <w:p>
      <w:r>
        <w:rPr/>
        <w:t xml:space="preserve">2. </w:t>
      </w:r>
      <w:r>
        <w:rPr>
          <w:b/>
        </w:rPr>
        <w:t xml:space="preserve">Processus de développement</w:t>
      </w:r>
      <w:r>
        <w:rPr/>
        <w:t xml:space="preserve"> — méthodes et étapes, systèmes pré-entraînés ou outils tiers utilisés, spécifications de conception et choix clés (y compris les compromis), architecture du système, exigences relatives aux données et fiches de données (provenance, portée, étiquetage, nettoyage), évaluation du contrôle humain (art. 14), modifications prédéterminées, procédures de validation et d'essai avec indicateurs et journaux d'essai signés et datés.</w:t>
      </w:r>
    </w:p>
    <w:p>
      <w:r>
        <w:rPr/>
        <w:t xml:space="preserve">3. </w:t>
      </w:r>
      <w:r>
        <w:rPr>
          <w:b/>
        </w:rPr>
        <w:t xml:space="preserve">Suivi, fonctionnement et contrôle</w:t>
      </w:r>
      <w:r>
        <w:rPr/>
        <w:t xml:space="preserve"> — capacités et limites, niveau d'exactitude attendu pour les personnes ou groupes sur lesquels il est utilisé (</w:t>
      </w:r>
      <w:r>
        <w:rPr>
          <w:b/>
        </w:rPr>
        <w:t xml:space="preserve">[à compléter: groupes concernés]</w:t>
      </w:r>
      <w:r>
        <w:rPr/>
        <w:t xml:space="preserve">), résultats et risques imprévus raisonnablement prévisibles, mesures de contrôle humain (</w:t>
      </w:r>
      <w:r>
        <w:rPr>
          <w:b/>
        </w:rPr>
        <w:t xml:space="preserve">[à compléter: mesures de contrôle]</w:t>
      </w:r>
      <w:r>
        <w:rPr/>
        <w:t xml:space="preserve">), spécifications des données d'entrée (</w:t>
      </w:r>
      <w:r>
        <w:rPr>
          <w:b/>
        </w:rPr>
        <w:t xml:space="preserve">[à compléter: données d'entrée]</w:t>
      </w:r>
      <w:r>
        <w:rPr/>
        <w:t xml:space="preserve">).</w:t>
      </w:r>
    </w:p>
    <w:p>
      <w:r>
        <w:rPr/>
        <w:t xml:space="preserve">4. </w:t>
      </w:r>
      <w:r>
        <w:rPr>
          <w:b/>
        </w:rPr>
        <w:t xml:space="preserve">Adéquation des indicateurs de performance.</w:t>
      </w:r>
    </w:p>
    <w:p>
      <w:r>
        <w:rPr/>
        <w:t xml:space="preserve">5. </w:t>
      </w:r>
      <w:r>
        <w:rPr>
          <w:b/>
        </w:rPr>
        <w:t xml:space="preserve">Système de gestion des risques</w:t>
      </w:r>
      <w:r>
        <w:rPr/>
        <w:t xml:space="preserve"> (art. 9).</w:t>
      </w:r>
    </w:p>
    <w:p>
      <w:r>
        <w:rPr/>
        <w:t xml:space="preserve">6. </w:t>
      </w:r>
      <w:r>
        <w:rPr>
          <w:b/>
        </w:rPr>
        <w:t xml:space="preserve">Modifications pertinentes</w:t>
      </w:r>
      <w:r>
        <w:rPr/>
        <w:t xml:space="preserve"> apportées tout au long du cycle de vie.</w:t>
      </w:r>
    </w:p>
    <w:p>
      <w:r>
        <w:rPr/>
        <w:t xml:space="preserve">7. </w:t>
      </w:r>
      <w:r>
        <w:rPr>
          <w:b/>
        </w:rPr>
        <w:t xml:space="preserve">Normes harmonisées appliquées</w:t>
      </w:r>
      <w:r>
        <w:rPr/>
        <w:t xml:space="preserve">, ou autres solutions utilisées pour satisfaire aux exigences du chapitre III, section 2.</w:t>
      </w:r>
    </w:p>
    <w:p>
      <w:r>
        <w:rPr/>
        <w:t xml:space="preserve">8. </w:t>
      </w:r>
      <w:r>
        <w:rPr>
          <w:b/>
        </w:rPr>
        <w:t xml:space="preserve">Déclaration UE de conformité</w:t>
      </w:r>
      <w:r>
        <w:rPr/>
        <w:t xml:space="preserve"> (art. 47).</w:t>
      </w:r>
    </w:p>
    <w:p>
      <w:r>
        <w:rPr/>
        <w:t xml:space="preserve">9. </w:t>
      </w:r>
      <w:r>
        <w:rPr>
          <w:b/>
        </w:rPr>
        <w:t xml:space="preserve">Plan de surveillance après commercialisation</w:t>
      </w:r>
      <w:r>
        <w:rPr/>
        <w:t xml:space="preserve"> (art. 72), y compris la journalisation qui l'alimente (art. 12 : enregistrement automatique des événements pendant la durée de vie du système).</w:t>
      </w:r>
    </w:p>
    <w:sectPr>
      <w:pgSz w:w="11906" w:h="16838"/>
      <w:pgMar w:top="1134" w:right="1134" w:bottom="1134" w:left="1134" w:header="0" w:footer="0" w:gutter="0"/>
    </w:sectPr>
  </w:body>
</w:document>
</file>

<file path=word/styles.xml><?xml version="1.0" encoding="utf-8"?>
<w:styles xmlns:w="http://schemas.openxmlformats.org/wordprocessingml/2006/main">
  <w:docDefaults>
    <w:rPrDefault>
      <w:rPr>
        <w:rFonts w:ascii="Calibri" w:hAnsi="Calibri"/>
        <w:sz w:val="22"/>
        <w:lang w:val="fr"/>
      </w:rPr>
    </w:rPrDefault>
    <w:pPrDefault>
      <w:pPr>
        <w:spacing w:after="120"/>
      </w:pPr>
    </w:pPrDefault>
  </w:docDefaults>
  <w:style w:type="paragraph" w:default="1" w:styleId="Normal">
    <w:name w:val="Normal"/>
  </w:style>
  <w:style w:type="paragraph" w:styleId="Heading1">
    <w:name w:val="Heading 1"/>
    <w:basedOn w:val="Normal"/>
    <w:pPr>
      <w:spacing w:before="240" w:after="80"/>
    </w:pPr>
    <w:rPr>
      <w:b/>
      <w:sz w:val="32"/>
    </w:rPr>
  </w:style>
  <w:style w:type="paragraph" w:styleId="Heading2">
    <w:name w:val="Heading 2"/>
    <w:basedOn w:val="Normal"/>
    <w:pPr>
      <w:spacing w:before="240" w:after="80"/>
    </w:pPr>
    <w:rPr>
      <w:b/>
      <w:sz w:val="28"/>
    </w:rPr>
  </w:style>
  <w:style w:type="paragraph" w:styleId="Heading3">
    <w:name w:val="Heading 3"/>
    <w:basedOn w:val="Normal"/>
    <w:pPr>
      <w:spacing w:before="240" w:after="80"/>
    </w:pPr>
    <w:rPr>
      <w:b/>
      <w:sz w:val="24"/>
    </w:rPr>
  </w:style>
  <w:style w:type="paragraph" w:styleId="Code">
    <w:name w:val="Code"/>
    <w:basedOn w:val="Normal"/>
    <w:pPr>
      <w:spacing w:after="0"/>
      <w:shd w:val="clear" w:fill="F2F2F2"/>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