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Need the documents, not just the answer?</w:t>
      </w:r>
      <w:r>
        <w:rPr/>
        <w:t xml:space="preserve"> FRIA (Art. 27), Annex IV technical documentation draft, AI literacy plan (Art. 4) and Art. 50 notices, drafted from your answers and signed — PDF + editable Markdown. No ledger or integration needed. https://attest.piratefly.com/pack/?src=template-art50-notices</w:t>
      </w:r>
    </w:p>
    <w:p>
      <w:pPr>
        <w:pStyle w:val="Heading2"/>
      </w:pPr>
      <w:r>
        <w:rPr/>
        <w:t xml:space="preserve">4. Transparency notices (Art. 50, applicable from 2 August 2026)</w:t>
      </w:r>
    </w:p>
    <w:p>
      <w:r>
        <w:rPr/>
        <w:t xml:space="preserve">Provided in a clear and distinguishable manner at the latest at the first interaction or exposure, and accessible to persons with disabilities (Art. 50(5)).</w:t>
      </w:r>
    </w:p>
    <w:p>
      <w:pPr>
        <w:pStyle w:val="Heading3"/>
      </w:pPr>
      <w:r>
        <w:rPr/>
        <w:t xml:space="preserve">Art. 50(1) — people interact directly with the system (provider duty, shown by the deployer)</w:t>
      </w:r>
    </w:p>
    <w:p>
      <w:pPr>
        <w:pStyle w:val="Code"/>
      </w:pPr>
      <w:r>
        <w:rPr>
          <w:rFonts w:ascii="Consolas" w:hAnsi="Consolas"/>
        </w:rPr>
        <w:t xml:space="preserve">You are chatting with an AI system operated by [to complete]. A person can take over at any time: </w:t>
      </w:r>
      <w:r>
        <w:rPr>
          <w:b/>
          <w:rFonts w:ascii="Consolas" w:hAnsi="Consolas"/>
        </w:rPr>
        <w:t xml:space="preserve">[how]</w:t>
      </w:r>
      <w:r>
        <w:rPr>
          <w:rFonts w:ascii="Consolas" w:hAnsi="Consolas"/>
        </w:rPr>
        <w:t xml:space="preserve">.</w:t>
      </w:r>
    </w:p>
    <w:p>
      <w:pPr>
        <w:pStyle w:val="Heading3"/>
      </w:pPr>
      <w:r>
        <w:rPr/>
        <w:t xml:space="preserve">Art. 50(2) — generated or manipulated text, image, audio or video (provider duty: machine-readable marking)</w:t>
      </w:r>
    </w:p>
    <w:p>
      <w:pPr>
        <w:pStyle w:val="Code"/>
      </w:pPr>
      <w:r>
        <w:rPr>
          <w:rFonts w:ascii="Consolas" w:hAnsi="Consolas"/>
        </w:rPr>
        <w:t xml:space="preserve">This content was generated with AI. [Machine-readable marking: C2PA / IPTC digital source type "trainedAlgorithmicMedia" / watermark]</w:t>
      </w:r>
    </w:p>
    <w:p>
      <w:pPr>
        <w:pStyle w:val="Heading3"/>
      </w:pPr>
      <w:r>
        <w:rPr/>
        <w:t xml:space="preserve">Art. 50(4) — deep fakes, and AI-generated text published to inform the public (deployer duty)</w:t>
      </w:r>
    </w:p>
    <w:p>
      <w:pPr>
        <w:pStyle w:val="Code"/>
      </w:pPr>
      <w:r>
        <w:rPr>
          <w:rFonts w:ascii="Consolas" w:hAnsi="Consolas"/>
        </w:rPr>
        <w:t xml:space="preserve">This image/video/audio has been artificially generated or manipulated.</w:t>
      </w:r>
    </w:p>
    <w:p>
      <w:pPr>
        <w:pStyle w:val="Heading3"/>
      </w:pPr>
      <w:r>
        <w:rPr/>
        <w:t xml:space="preserve">Art. 50(3) — emotion recognition or biometric categorisation (deployer duty; GDPR applies)</w:t>
      </w:r>
    </w:p>
    <w:p>
      <w:pPr>
        <w:pStyle w:val="Code"/>
      </w:pPr>
      <w:r>
        <w:rPr>
          <w:rFonts w:ascii="Consolas" w:hAnsi="Consolas"/>
        </w:rPr>
        <w:t xml:space="preserve">This service uses an AI system that analyses </w:t>
      </w:r>
      <w:r>
        <w:rPr>
          <w:b/>
          <w:rFonts w:ascii="Consolas" w:hAnsi="Consolas"/>
        </w:rPr>
        <w:t xml:space="preserve">[emotions / biometric characteristics]</w:t>
      </w:r>
      <w:r>
        <w:rPr>
          <w:rFonts w:ascii="Consolas" w:hAnsi="Consolas"/>
        </w:rPr>
        <w:t xml:space="preserve">. Personal data is processed as described in [to complete]'s privacy notice: </w:t>
      </w:r>
      <w:r>
        <w:rPr>
          <w:b/>
          <w:rFonts w:ascii="Consolas" w:hAnsi="Consolas"/>
        </w:rPr>
        <w:t xml:space="preserve">[link]</w:t>
      </w:r>
      <w:r>
        <w:rPr>
          <w:rFonts w:ascii="Consolas" w:hAnsi="Consolas"/>
        </w:rPr>
        <w:t xml:space="preserve">.</w:t>
      </w:r>
    </w:p>
    <w:p>
      <w:r>
        <w:rPr/>
        <w:t xml:space="preserve">Also for deployers of high-risk systems that take or assist decisions about natural persons: inform them that they are subject to the use of the system (Art. 26(11)).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en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