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¿Necesita los documentos, no solo la respuesta?</w:t>
      </w:r>
      <w:r>
        <w:rPr/>
        <w:t xml:space="preserve"> Evaluación de impacto relativa a los derechos fundamentales (art. 27), borrador de documentación técnica (anexo IV), plan de alfabetización en IA (art. 4) y avisos del art. 50, redactados a partir de sus respuestas y firmados, en español — PDF + Markdown editable. Sin ledger ni integración. https://attest.piratefly.com/es/pack/?src=template-art50-notices</w:t>
      </w:r>
    </w:p>
    <w:p>
      <w:pPr>
        <w:pStyle w:val="Heading2"/>
      </w:pPr>
      <w:r>
        <w:rPr/>
        <w:t xml:space="preserve">4. Obligaciones de transparencia (art. 50, aplicable desde el 2 de agosto de 2026)</w:t>
      </w:r>
    </w:p>
    <w:p>
      <w:r>
        <w:rPr/>
        <w:t xml:space="preserve">Se facilitan de manera clara y diferenciada, a más tardar en el momento de la primera interacción o exposición, y de forma accesible para las personas con discapacidad (art. 50, apartado 5).</w:t>
      </w:r>
    </w:p>
    <w:p>
      <w:pPr>
        <w:pStyle w:val="Heading3"/>
      </w:pPr>
      <w:r>
        <w:rPr/>
        <w:t xml:space="preserve">Art. 50, apartado 1 — las personas interactúan directamente con el sistema (obligación del proveedor, mostrada por el responsable del despliegue)</w:t>
      </w:r>
    </w:p>
    <w:p>
      <w:pPr>
        <w:pStyle w:val="Code"/>
      </w:pPr>
      <w:r>
        <w:rPr>
          <w:rFonts w:ascii="Consolas" w:hAnsi="Consolas"/>
        </w:rPr>
        <w:t xml:space="preserve">Está conversando con un sistema de IA operado por [pendiente de completar]. Una persona puede intervenir en cualquier momento: </w:t>
      </w:r>
      <w:r>
        <w:rPr>
          <w:b/>
          <w:rFonts w:ascii="Consolas" w:hAnsi="Consolas"/>
        </w:rPr>
        <w:t xml:space="preserve">[cómo]</w:t>
      </w:r>
      <w:r>
        <w:rPr>
          <w:rFonts w:ascii="Consolas" w:hAnsi="Consolas"/>
        </w:rPr>
        <w:t xml:space="preserve">.</w:t>
      </w:r>
    </w:p>
    <w:p>
      <w:pPr>
        <w:pStyle w:val="Heading3"/>
      </w:pPr>
      <w:r>
        <w:rPr/>
        <w:t xml:space="preserve">Art. 50, apartado 2 — texto, imagen, audio o vídeo generados o manipulados (obligación del proveedor: marcado legible por máquina)</w:t>
      </w:r>
    </w:p>
    <w:p>
      <w:pPr>
        <w:pStyle w:val="Code"/>
      </w:pPr>
      <w:r>
        <w:rPr>
          <w:rFonts w:ascii="Consolas" w:hAnsi="Consolas"/>
        </w:rPr>
        <w:t xml:space="preserve">Este contenido se ha generado con IA. [Marcado legible por máquina: C2PA / tipo de fuente digital IPTC "trainedAlgorithmicMedia" / marca de agua]</w:t>
      </w:r>
    </w:p>
    <w:p>
      <w:pPr>
        <w:pStyle w:val="Heading3"/>
      </w:pPr>
      <w:r>
        <w:rPr/>
        <w:t xml:space="preserve">Art. 50, apartado 4 — ultrasuplantaciones (deepfakes) y textos generados por IA publicados para informar al público (obligación del responsable del despliegue)</w:t>
      </w:r>
    </w:p>
    <w:p>
      <w:pPr>
        <w:pStyle w:val="Code"/>
      </w:pPr>
      <w:r>
        <w:rPr>
          <w:rFonts w:ascii="Consolas" w:hAnsi="Consolas"/>
        </w:rPr>
        <w:t xml:space="preserve">Esta imagen/vídeo/audio ha sido generado o manipulado artificialmente.</w:t>
      </w:r>
    </w:p>
    <w:p>
      <w:pPr>
        <w:pStyle w:val="Heading3"/>
      </w:pPr>
      <w:r>
        <w:rPr/>
        <w:t xml:space="preserve">Art. 50, apartado 3 — reconocimiento de emociones o categorización biométrica (obligación del responsable del despliegue; se aplica el RGPD)</w:t>
      </w:r>
    </w:p>
    <w:p>
      <w:pPr>
        <w:pStyle w:val="Code"/>
      </w:pPr>
      <w:r>
        <w:rPr>
          <w:rFonts w:ascii="Consolas" w:hAnsi="Consolas"/>
        </w:rPr>
        <w:t xml:space="preserve">Este servicio utiliza un sistema de IA que analiza </w:t>
      </w:r>
      <w:r>
        <w:rPr>
          <w:b/>
          <w:rFonts w:ascii="Consolas" w:hAnsi="Consolas"/>
        </w:rPr>
        <w:t xml:space="preserve">[emociones / características biométricas]</w:t>
      </w:r>
      <w:r>
        <w:rPr>
          <w:rFonts w:ascii="Consolas" w:hAnsi="Consolas"/>
        </w:rPr>
        <w:t xml:space="preserve">. Los datos personales se tratan según se describe en el aviso de privacidad de [pendiente de completar]: </w:t>
      </w:r>
      <w:r>
        <w:rPr>
          <w:b/>
          <w:rFonts w:ascii="Consolas" w:hAnsi="Consolas"/>
        </w:rPr>
        <w:t xml:space="preserve">[enlace]</w:t>
      </w:r>
      <w:r>
        <w:rPr>
          <w:rFonts w:ascii="Consolas" w:hAnsi="Consolas"/>
        </w:rPr>
        <w:t xml:space="preserve">.</w:t>
      </w:r>
    </w:p>
    <w:p>
      <w:r>
        <w:rPr/>
        <w:t xml:space="preserve">Asimismo, para los responsables del despliegue de sistemas de alto riesgo que tomen o ayuden a tomar decisiones relativas a personas físicas: informarles de que están sujetas al uso del sistema (art. 26, apartado 11).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es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