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Besoin des documents, pas seulement de la réponse ?</w:t>
      </w:r>
      <w:r>
        <w:rPr/>
        <w:t xml:space="preserve"> Analyse d'impact sur les droits fondamentaux (art. 27), projet de documentation technique (annexe IV), plan de maîtrise de l'IA (art. 4) et mentions de l'art. 50, rédigés à partir de vos réponses et signés, en français — PDF + Markdown modifiable. Sans ledger ni intégration. https://attest.piratefly.com/fr/pack/?src=template-art50-notices</w:t>
      </w:r>
    </w:p>
    <w:p>
      <w:pPr>
        <w:pStyle w:val="Heading2"/>
      </w:pPr>
      <w:r>
        <w:rPr/>
        <w:t xml:space="preserve">4. Informations sur la transparence (art. 50, applicable à partir du 2 août 2026)</w:t>
      </w:r>
    </w:p>
    <w:p>
      <w:r>
        <w:rPr/>
        <w:t xml:space="preserve">Fournies de manière claire et reconnaissable au plus tard lors de la première interaction ou exposition, et accessibles aux personnes handicapées (art. 50, paragraphe 5).</w:t>
      </w:r>
    </w:p>
    <w:p>
      <w:pPr>
        <w:pStyle w:val="Heading3"/>
      </w:pPr>
      <w:r>
        <w:rPr/>
        <w:t xml:space="preserve">art. 50, paragraphe 1 — les personnes interagissent directement avec le système (obligation du fournisseur, affichée par le déployeur)</w:t>
      </w:r>
    </w:p>
    <w:p>
      <w:pPr>
        <w:pStyle w:val="Code"/>
      </w:pPr>
      <w:r>
        <w:rPr>
          <w:rFonts w:ascii="Consolas" w:hAnsi="Consolas"/>
        </w:rPr>
        <w:t xml:space="preserve">Vous échangez avec un système d'IA exploité par [à compléter]. Une personne peut prendre le relais à tout moment : </w:t>
      </w:r>
      <w:r>
        <w:rPr>
          <w:b/>
          <w:rFonts w:ascii="Consolas" w:hAnsi="Consolas"/>
        </w:rPr>
        <w:t xml:space="preserve">[comment]</w:t>
      </w:r>
      <w:r>
        <w:rPr>
          <w:rFonts w:ascii="Consolas" w:hAnsi="Consolas"/>
        </w:rPr>
        <w:t xml:space="preserve">.</w:t>
      </w:r>
    </w:p>
    <w:p>
      <w:pPr>
        <w:pStyle w:val="Heading3"/>
      </w:pPr>
      <w:r>
        <w:rPr/>
        <w:t xml:space="preserve">art. 50, paragraphe 2 — texte, image, audio ou vidéo généré ou manipulé (obligation du fournisseur : marquage lisible par machine)</w:t>
      </w:r>
    </w:p>
    <w:p>
      <w:pPr>
        <w:pStyle w:val="Code"/>
      </w:pPr>
      <w:r>
        <w:rPr>
          <w:rFonts w:ascii="Consolas" w:hAnsi="Consolas"/>
        </w:rPr>
        <w:t xml:space="preserve">Ce contenu a été généré par IA. [Marquage lisible par machine : C2PA / type de source numérique IPTC « trainedAlgorithmicMedia » / filigrane]</w:t>
      </w:r>
    </w:p>
    <w:p>
      <w:pPr>
        <w:pStyle w:val="Heading3"/>
      </w:pPr>
      <w:r>
        <w:rPr/>
        <w:t xml:space="preserve">art. 50, paragraphe 4 — hypertrucages, et texte généré par IA publié pour informer le public (obligation du déployeur)</w:t>
      </w:r>
    </w:p>
    <w:p>
      <w:pPr>
        <w:pStyle w:val="Code"/>
      </w:pPr>
      <w:r>
        <w:rPr>
          <w:rFonts w:ascii="Consolas" w:hAnsi="Consolas"/>
        </w:rPr>
        <w:t xml:space="preserve">Cette image/vidéo/audio a été générée ou manipulée artificiellement.</w:t>
      </w:r>
    </w:p>
    <w:p>
      <w:pPr>
        <w:pStyle w:val="Heading3"/>
      </w:pPr>
      <w:r>
        <w:rPr/>
        <w:t xml:space="preserve">art. 50, paragraphe 3 — reconnaissance des émotions ou catégorisation biométrique (obligation du déployeur ; le RGPD s'applique)</w:t>
      </w:r>
    </w:p>
    <w:p>
      <w:pPr>
        <w:pStyle w:val="Code"/>
      </w:pPr>
      <w:r>
        <w:rPr>
          <w:rFonts w:ascii="Consolas" w:hAnsi="Consolas"/>
        </w:rPr>
        <w:t xml:space="preserve">Ce service utilise un système d'IA qui analyse </w:t>
      </w:r>
      <w:r>
        <w:rPr>
          <w:b/>
          <w:rFonts w:ascii="Consolas" w:hAnsi="Consolas"/>
        </w:rPr>
        <w:t xml:space="preserve">[les émotions / des caractéristiques biométriques]</w:t>
      </w:r>
      <w:r>
        <w:rPr>
          <w:rFonts w:ascii="Consolas" w:hAnsi="Consolas"/>
        </w:rPr>
        <w:t xml:space="preserve">. Les données à caractère personnel sont traitées comme décrit dans la notice de confidentialité de [à compléter] : </w:t>
      </w:r>
      <w:r>
        <w:rPr>
          <w:b/>
          <w:rFonts w:ascii="Consolas" w:hAnsi="Consolas"/>
        </w:rPr>
        <w:t xml:space="preserve">[lien]</w:t>
      </w:r>
      <w:r>
        <w:rPr>
          <w:rFonts w:ascii="Consolas" w:hAnsi="Consolas"/>
        </w:rPr>
        <w:t xml:space="preserve">.</w:t>
      </w:r>
    </w:p>
    <w:p>
      <w:r>
        <w:rPr/>
        <w:t xml:space="preserve">Également pour les déployeurs de systèmes à haut risque qui prennent des décisions concernant des personnes physiques, ou qui y contribuent : les informer qu'elles sont soumises à l'utilisation du système (art. 26, paragraphe 11).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