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Sie brauchen die Dokumente, nicht nur die Antwort?</w:t>
      </w:r>
      <w:r>
        <w:rPr/>
        <w:t xml:space="preserve"> Grundrechte-Folgenabschätzung (Art. 27), Entwurf der technischen Dokumentation (Anhang IV), KI-Kompetenzplan (Art. 4) und Hinweise nach Art. 50, aus Ihren Angaben erstellt und signiert, auf Deutsch — PDF + bearbeitbares Markdown. Kein Ledger, keine Integration. https://attest.piratefly.com/de/pack/?src=template-fria</w:t>
      </w:r>
    </w:p>
    <w:p>
      <w:pPr>
        <w:pStyle w:val="Heading2"/>
      </w:pPr>
      <w:r>
        <w:rPr/>
        <w:t xml:space="preserve">1. Grundrechte-Folgenabschätzung (Art. 27)</w:t>
      </w:r>
    </w:p>
    <w:p>
      <w:r>
        <w:rPr/>
        <w:t xml:space="preserve">Erforderlich vor der erstmaligen Nutzung durch Betreiber, die Einrichtungen des öffentlichen Rechts sind, private Einrichtungen, die öffentliche Dienste erbringen, sowie Betreiber der Hochrisiko-Systeme nach Anhang III Nummer 5 Buchstaben b und c (Kreditwürdigkeit, Risikobewertung und Preisbildung bei Lebens- und Krankenversicherungen). Wird aktualisiert, sobald sich einer der nachstehenden Punkte ändert; die Ergebnisse werden der Marktüberwachungsbehörde mit deren Vorlage mitgeteilt (Art. 27 Abs. 3). Soweit bereits eine Datenschutz-Folgenabschätzung (DSFA) nach Art. 35 DSGVO vorliegt, ergänzt diese Bewertung jene (Art. 27 Abs. 4).</w:t>
      </w:r>
    </w:p>
    <w:p>
      <w:r>
        <w:rPr>
          <w:b/>
        </w:rPr>
        <w:t xml:space="preserve">Betreiber:</w:t>
      </w:r>
      <w:r>
        <w:rPr/>
        <w:t xml:space="preserve"> [zu vervollständigen] · </w:t>
      </w:r>
      <w:r>
        <w:rPr>
          <w:b/>
        </w:rPr>
        <w:t xml:space="preserve">KI-System:</w:t>
      </w:r>
      <w:r>
        <w:rPr/>
        <w:t xml:space="preserve"> [zu vervollständigen] · </w:t>
      </w:r>
      <w:r>
        <w:rPr>
          <w:b/>
        </w:rPr>
        <w:t xml:space="preserve">Bereich nach Anhang III:</w:t>
      </w:r>
      <w:r>
        <w:rPr/>
        <w:t xml:space="preserve"> </w:t>
      </w:r>
      <w:r>
        <w:rPr>
          <w:b/>
        </w:rPr>
        <w:t xml:space="preserve">[zu vervollständigen: Nummer nach Anhang III, oder „nicht hochriskant" mit Begründung]</w:t>
      </w:r>
    </w:p>
    <w:p>
      <w:pPr>
        <w:pStyle w:val="Heading3"/>
      </w:pPr>
      <w:r>
        <w:rPr/>
        <w:t xml:space="preserve">(a) Prozesse, in denen das System eingesetzt wird</w:t>
      </w:r>
    </w:p>
    <w:p>
      <w:r>
        <w:rPr>
          <w:b/>
        </w:rPr>
        <w:t xml:space="preserve">[zu vervollständigen: der Prozess des Betreibers und die Zweckbestimmung, wie in der Betriebsanleitung des Anbieters beschrieben]</w:t>
      </w:r>
    </w:p>
    <w:p>
      <w:pPr>
        <w:pStyle w:val="Heading3"/>
      </w:pPr>
      <w:r>
        <w:rPr/>
        <w:t xml:space="preserve">(b) Zeitraum und Häufigkeit der Nutzung</w:t>
      </w:r>
    </w:p>
    <w:p>
      <w:r>
        <w:rPr>
          <w:b/>
        </w:rPr>
        <w:t xml:space="preserve">[zu vervollständigen: Beginndatum, voraussichtliche Dauer und wie häufig Entscheidungen mit dem System getroffen werden]</w:t>
      </w:r>
    </w:p>
    <w:p>
      <w:pPr>
        <w:pStyle w:val="Heading3"/>
      </w:pPr>
      <w:r>
        <w:rPr/>
        <w:t xml:space="preserve">(c) Kategorien der betroffenen natürlichen Personen und Gruppen</w:t>
      </w:r>
    </w:p>
    <w:p>
      <w:r>
        <w:rPr>
          <w:b/>
        </w:rPr>
        <w:t xml:space="preserve">[zu vervollständigen: Kategorien natürlicher Personen und Gruppen, die voraussichtlich betroffen sind]</w:t>
      </w:r>
    </w:p>
    <w:p>
      <w:r>
        <w:rPr/>
        <w:t xml:space="preserve">Ausdrücklich zu berücksichtigende schutzbedürftige Gruppen: Minderjährige, Menschen mit Behinderungen, ältere Menschen, Personen in wirtschaftlich schwierigen Verhältnissen, Personen ohne ausreichende Sprachkenntnisse.</w:t>
      </w:r>
    </w:p>
    <w:p>
      <w:pPr>
        <w:pStyle w:val="Heading3"/>
      </w:pPr>
      <w:r>
        <w:rPr/>
        <w:t xml:space="preserve">(d) Spezifische Schadensrisiken für diese Personen</w:t>
      </w:r>
    </w:p>
    <w:p>
      <w:r>
        <w:rPr/>
        <w:t xml:space="preserve">Auf Grundlage der Angaben, die der Anbieter nach Art. 13 macht (Betriebsanleitung), und der nachfolgend beschriebenen Daten.</w:t>
      </w:r>
    </w:p>
    <w:p>
      <w:r>
        <w:rPr/>
        <w:t xml:space="preserve">Eingabedaten und personenbezogene Daten: </w:t>
      </w:r>
      <w:r>
        <w:rPr>
          <w:b/>
        </w:rPr>
        <w:t xml:space="preserve">[zu vervollständigen: Kategorien der verarbeiteten Eingabedaten und personenbezogenen Daten]</w:t>
      </w:r>
    </w:p>
    <w:tbl>
      <w:tblPr>
        <w:tblW w:w="5000" w:type="pct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/>
        <w:gridCol/>
        <w:gridCol/>
        <w:gridCol/>
        <w:gridCol/>
      </w:tblGrid>
      <w:tr>
        <w:tc>
          <w:tcPr>
            <w:tcW w:w="0" w:type="auto"/>
          </w:tcPr>
          <w:p>
            <w:r>
              <w:rPr/>
              <w:t xml:space="preserve">Grundrecht (EU-Grundrechtecharta)</w:t>
            </w:r>
          </w:p>
        </w:tc>
        <w:tc>
          <w:tcPr>
            <w:tcW w:w="0" w:type="auto"/>
          </w:tcPr>
          <w:p>
            <w:r>
              <w:rPr/>
              <w:t xml:space="preserve">Risiko bei dieser Nutzung</w:t>
            </w:r>
          </w:p>
        </w:tc>
        <w:tc>
          <w:tcPr>
            <w:tcW w:w="0" w:type="auto"/>
          </w:tcPr>
          <w:p>
            <w:r>
              <w:rPr/>
              <w:t xml:space="preserve">Eintrittswahrscheinlichkeit</w:t>
            </w:r>
          </w:p>
        </w:tc>
        <w:tc>
          <w:tcPr>
            <w:tcW w:w="0" w:type="auto"/>
          </w:tcPr>
          <w:p>
            <w:r>
              <w:rPr/>
              <w:t xml:space="preserve">Schwere</w:t>
            </w:r>
          </w:p>
        </w:tc>
        <w:tc>
          <w:tcPr>
            <w:tcW w:w="0" w:type="auto"/>
          </w:tcPr>
          <w:p>
            <w:r>
              <w:rPr/>
              <w:t xml:space="preserve">Minderungsmaßnahme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Nichtdiskriminierung (Art. 21)</w:t>
            </w:r>
          </w:p>
        </w:tc>
        <w:tc>
          <w:tcPr>
            <w:tcW w:w="0" w:type="auto"/>
          </w:tcPr>
          <w:p>
            <w:r>
              <w:rPr/>
              <w:t xml:space="preserve">Ergebnisse, die nach geschütztem Merkmal oder einem dafür stehenden Ersatzmerkmal variieren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/>
              <w:t xml:space="preserve">Regelmäßige Überprüfung der Ergebnisse nach Gruppen; Eskalation an einen Menschen bei strittigen Fällen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Achtung des Privatlebens und Schutz personenbezogener Daten (Art. 7-8)</w:t>
            </w:r>
          </w:p>
        </w:tc>
        <w:tc>
          <w:tcPr>
            <w:tcW w:w="0" w:type="auto"/>
          </w:tcPr>
          <w:p>
            <w:r>
              <w:rPr/>
              <w:t xml:space="preserve">Verarbeitung über den Zweck hinaus; Ableitung sensibler Daten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/>
              <w:t xml:space="preserve">Datenminimierung; Abgleich mit der DSFA; Speicherbegrenzung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Würde des Menschen und Autonomie (Art. 1)</w:t>
            </w:r>
          </w:p>
        </w:tc>
        <w:tc>
          <w:tcPr>
            <w:tcW w:w="0" w:type="auto"/>
          </w:tcPr>
          <w:p>
            <w:r>
              <w:rPr/>
              <w:t xml:space="preserve">Betroffene sind sich der Beteiligung eines Systems nicht bewusst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/>
              <w:t xml:space="preserve">Hinweise nach Art. 50 (Abschnitt 4); Information der betroffenen Personen nach Art. 26 Abs. 11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Zugang zu Leistungen und Diensten (Art. 34-36)</w:t>
            </w:r>
          </w:p>
        </w:tc>
        <w:tc>
          <w:tcPr>
            <w:tcW w:w="0" w:type="auto"/>
          </w:tcPr>
          <w:p>
            <w:r>
              <w:rPr/>
              <w:t xml:space="preserve">Unrechtmäßige Ablehnung oder Verzögerung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/>
              <w:t xml:space="preserve">Menschliche Überprüfung jedes negativen Ergebnisses</w:t>
            </w:r>
          </w:p>
        </w:tc>
      </w:tr>
      <w:tr>
        <w:tc>
          <w:tcPr>
            <w:tcW w:w="0" w:type="auto"/>
          </w:tcPr>
          <w:p>
            <w:r>
              <w:rPr/>
              <w:t xml:space="preserve">Recht auf einen wirksamen Rechtsbehelf (Art. 47)</w:t>
            </w:r>
          </w:p>
        </w:tc>
        <w:tc>
          <w:tcPr>
            <w:tcW w:w="0" w:type="auto"/>
          </w:tcPr>
          <w:p>
            <w:r>
              <w:rPr/>
              <w:t xml:space="preserve">Betroffene können das Ergebnis nicht anfechten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[N/M/H]</w:t>
            </w:r>
          </w:p>
        </w:tc>
        <w:tc>
          <w:tcPr>
            <w:tcW w:w="0" w:type="auto"/>
          </w:tcPr>
          <w:p>
            <w:r>
              <w:rPr/>
              <w:t xml:space="preserve">Beschwerdekanal und Recht auf Erläuterung (Art. 86)</w:t>
            </w:r>
          </w:p>
        </w:tc>
      </w:tr>
    </w:tbl>
    <w:p/>
    <w:p>
      <w:pPr>
        <w:pStyle w:val="Heading3"/>
      </w:pPr>
      <w:r>
        <w:rPr/>
        <w:t xml:space="preserve">(e) Maßnahmen der menschlichen Aufsicht (gemäß Betriebsanleitung)</w:t>
      </w:r>
    </w:p>
    <w:p>
      <w:r>
        <w:rPr>
          <w:b/>
        </w:rPr>
        <w:t xml:space="preserve">[zu vervollständigen: wer die Ausgabe außer Kraft setzen, stoppen oder unberücksichtigt lassen kann, deren Schulung und Befugnisse (Art. 14, Art. 26 Abs. 2)]</w:t>
      </w:r>
    </w:p>
    <w:p>
      <w:pPr>
        <w:pStyle w:val="Heading3"/>
      </w:pPr>
      <w:r>
        <w:rPr/>
        <w:t xml:space="preserve">(f) Maßnahmen bei Eintritt der Risiken</w:t>
      </w:r>
    </w:p>
    <w:p>
      <w:r>
        <w:rPr/>
        <w:t xml:space="preserve">• Nutzung aussetzen und Anbieter sowie Marktüberwachungsbehörde unverzüglich informieren, sobald ein Risiko nach Art. 79 Abs. 1 festgestellt wird (Art. 26 Abs. 5).</w:t>
      </w:r>
    </w:p>
    <w:p>
      <w:r>
        <w:rPr/>
        <w:t xml:space="preserve">• Schwerwiegende Vorfälle: zunächst dem Anbieter, dann der Behörde melden (Art. 73; 15 Tage, 10 Tage bei Todesfall, 2 Tage bei weitverbreitetem Verstoß).</w:t>
      </w:r>
    </w:p>
    <w:p>
      <w:r>
        <w:rPr/>
        <w:t xml:space="preserve">• Interne Governance: Verantwortlicher für diese Bewertung </w:t>
      </w:r>
      <w:r>
        <w:rPr>
          <w:b/>
        </w:rPr>
        <w:t xml:space="preserve">[Name, Funktion]</w:t>
      </w:r>
      <w:r>
        <w:rPr/>
        <w:t xml:space="preserve">; Überprüfungsintervall </w:t>
      </w:r>
      <w:r>
        <w:rPr>
          <w:b/>
        </w:rPr>
        <w:t xml:space="preserve">[z. B. alle 6 Monate und bei jeder wesentlichen Änderung]</w:t>
      </w:r>
      <w:r>
        <w:rPr/>
        <w:t xml:space="preserve">.</w:t>
      </w:r>
    </w:p>
    <w:p>
      <w:r>
        <w:rPr/>
        <w:t xml:space="preserve">• Beschwerdemechanismus für betroffene Personen: </w:t>
      </w:r>
      <w:r>
        <w:rPr>
          <w:b/>
        </w:rPr>
        <w:t xml:space="preserve">[Kanal, Reaktionszeit]</w:t>
      </w:r>
      <w:r>
        <w:rPr/>
        <w:t xml:space="preserve">.</w:t>
      </w:r>
    </w:p>
    <w:p>
      <w:r>
        <w:rPr/>
        <w:t xml:space="preserve">• Automatisch erzeugte Protokolle werden mindestens sechs Monate aufbewahrt (Art. 26 Abs. 6).</w:t>
      </w:r>
    </w:p>
    <w:sectPr>
      <w:pgSz w:w="11906" w:h="16838"/>
      <w:pgMar w:top="1134" w:right="1134" w:bottom="1134" w:left="113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de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spacing w:before="240" w:after="80"/>
    </w:pPr>
    <w:rPr>
      <w:b/>
      <w:sz w:val="32"/>
    </w:rPr>
  </w:style>
  <w:style w:type="paragraph" w:styleId="Heading2">
    <w:name w:val="Heading 2"/>
    <w:basedOn w:val="Normal"/>
    <w:pPr>
      <w:spacing w:before="240" w:after="80"/>
    </w:pPr>
    <w:rPr>
      <w:b/>
      <w:sz w:val="28"/>
    </w:rPr>
  </w:style>
  <w:style w:type="paragraph" w:styleId="Heading3">
    <w:name w:val="Heading 3"/>
    <w:basedOn w:val="Normal"/>
    <w:pPr>
      <w:spacing w:before="240" w:after="80"/>
    </w:pPr>
    <w:rPr>
      <w:b/>
      <w:sz w:val="24"/>
    </w:rPr>
  </w:style>
  <w:style w:type="paragraph" w:styleId="Code">
    <w:name w:val="Code"/>
    <w:basedOn w:val="Normal"/>
    <w:pPr>
      <w:spacing w:after="0"/>
      <w:shd w:val="clear" w:fill="F2F2F2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