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Need the documents, not just the answer?</w:t>
      </w:r>
      <w:r>
        <w:rPr/>
        <w:t xml:space="preserve"> FRIA (Art. 27), Annex IV technical documentation draft, AI literacy plan (Art. 4) and Art. 50 notices, drafted from your answers and signed — PDF + editable Markdown. No ledger or integration needed. https://attest.piratefly.com/pack/?src=template-fria</w:t>
      </w:r>
    </w:p>
    <w:p>
      <w:pPr>
        <w:pStyle w:val="Heading2"/>
      </w:pPr>
      <w:r>
        <w:rPr/>
        <w:t xml:space="preserve">1. Fundamental Rights Impact Assessment (Art. 27)</w:t>
      </w:r>
    </w:p>
    <w:p>
      <w:r>
        <w:rPr/>
        <w:t xml:space="preserve">Required before first use by deployers that are bodies governed by public law, private entities providing public services, and deployers of the high-risk systems in Annex III points 5(b) and 5(c) (creditworthiness, life and health insurance pricing). Kept up to date when any element below changes; the results are notified to the market surveillance authority with its template (Art. 27(3)). Where a DPIA under GDPR Art. 35 exists, this assessment complements it (Art. 27(4)).</w:t>
      </w:r>
    </w:p>
    <w:p>
      <w:r>
        <w:rPr>
          <w:b/>
        </w:rPr>
        <w:t xml:space="preserve">Deployer:</w:t>
      </w:r>
      <w:r>
        <w:rPr/>
        <w:t xml:space="preserve"> [to complete] · </w:t>
      </w:r>
      <w:r>
        <w:rPr>
          <w:b/>
        </w:rPr>
        <w:t xml:space="preserve">AI system:</w:t>
      </w:r>
      <w:r>
        <w:rPr/>
        <w:t xml:space="preserve"> [to complete] · </w:t>
      </w:r>
      <w:r>
        <w:rPr>
          <w:b/>
        </w:rPr>
        <w:t xml:space="preserve">Annex III area:</w:t>
      </w:r>
      <w:r>
        <w:rPr/>
        <w:t xml:space="preserve"> </w:t>
      </w:r>
      <w:r>
        <w:rPr>
          <w:b/>
        </w:rPr>
        <w:t xml:space="preserve">[to complete: Annex III point, or "not high-risk" with the reason]</w:t>
      </w:r>
    </w:p>
    <w:p>
      <w:pPr>
        <w:pStyle w:val="Heading3"/>
      </w:pPr>
      <w:r>
        <w:rPr/>
        <w:t xml:space="preserve">(a) Processes in which the system is used</w:t>
      </w:r>
    </w:p>
    <w:p>
      <w:r>
        <w:rPr>
          <w:b/>
        </w:rPr>
        <w:t xml:space="preserve">[to complete: the deployer process and the intended purpose, as described in the provider instructions for use]</w:t>
      </w:r>
    </w:p>
    <w:p>
      <w:pPr>
        <w:pStyle w:val="Heading3"/>
      </w:pPr>
      <w:r>
        <w:rPr/>
        <w:t xml:space="preserve">(b) Period and frequency of use</w:t>
      </w:r>
    </w:p>
    <w:p>
      <w:r>
        <w:rPr>
          <w:b/>
        </w:rPr>
        <w:t xml:space="preserve">[to complete: start date, expected duration, and how often decisions are taken with the system]</w:t>
      </w:r>
    </w:p>
    <w:p>
      <w:pPr>
        <w:pStyle w:val="Heading3"/>
      </w:pPr>
      <w:r>
        <w:rPr/>
        <w:t xml:space="preserve">(c) Categories of natural persons and groups affected</w:t>
      </w:r>
    </w:p>
    <w:p>
      <w:r>
        <w:rPr>
          <w:b/>
        </w:rPr>
        <w:t xml:space="preserve">[to complete: categories of natural persons and groups likely to be affected]</w:t>
      </w:r>
    </w:p>
    <w:p>
      <w:r>
        <w:rPr/>
        <w:t xml:space="preserve">Vulnerable groups to consider explicitly: minors, persons with disabilities, older persons, persons in economic hardship, non-native speakers.</w:t>
      </w:r>
    </w:p>
    <w:p>
      <w:pPr>
        <w:pStyle w:val="Heading3"/>
      </w:pPr>
      <w:r>
        <w:rPr/>
        <w:t xml:space="preserve">(d) Specific risks of harm to those persons</w:t>
      </w:r>
    </w:p>
    <w:p>
      <w:r>
        <w:rPr/>
        <w:t xml:space="preserve">Based on the information the provider gives under Art. 13 (instructions for use) and on the data described below.</w:t>
      </w:r>
    </w:p>
    <w:p>
      <w:r>
        <w:rPr/>
        <w:t xml:space="preserve">Input and personal data: </w:t>
      </w:r>
      <w:r>
        <w:rPr>
          <w:b/>
        </w:rPr>
        <w:t xml:space="preserve">[to complete: categories of input data and personal data processed]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/>
        <w:gridCol/>
        <w:gridCol/>
        <w:gridCol/>
        <w:gridCol/>
      </w:tblGrid>
      <w:tr>
        <w:tc>
          <w:tcPr>
            <w:tcW w:w="0" w:type="auto"/>
          </w:tcPr>
          <w:p>
            <w:r>
              <w:rPr/>
              <w:t xml:space="preserve">Right (EU Charter)</w:t>
            </w:r>
          </w:p>
        </w:tc>
        <w:tc>
          <w:tcPr>
            <w:tcW w:w="0" w:type="auto"/>
          </w:tcPr>
          <w:p>
            <w:r>
              <w:rPr/>
              <w:t xml:space="preserve">Risk in this deployment</w:t>
            </w:r>
          </w:p>
        </w:tc>
        <w:tc>
          <w:tcPr>
            <w:tcW w:w="0" w:type="auto"/>
          </w:tcPr>
          <w:p>
            <w:r>
              <w:rPr/>
              <w:t xml:space="preserve">Likelihood</w:t>
            </w:r>
          </w:p>
        </w:tc>
        <w:tc>
          <w:tcPr>
            <w:tcW w:w="0" w:type="auto"/>
          </w:tcPr>
          <w:p>
            <w:r>
              <w:rPr/>
              <w:t xml:space="preserve">Severity</w:t>
            </w:r>
          </w:p>
        </w:tc>
        <w:tc>
          <w:tcPr>
            <w:tcW w:w="0" w:type="auto"/>
          </w:tcPr>
          <w:p>
            <w:r>
              <w:rPr/>
              <w:t xml:space="preserve">Mitigation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Non-discrimination (Art. 21)</w:t>
            </w:r>
          </w:p>
        </w:tc>
        <w:tc>
          <w:tcPr>
            <w:tcW w:w="0" w:type="auto"/>
          </w:tcPr>
          <w:p>
            <w:r>
              <w:rPr/>
              <w:t xml:space="preserve">Outputs that differ by protected characteristic or proxy for it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/>
              <w:t xml:space="preserve">Periodic output review by group; escalation to a human on contested cases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Private life and data protection (Art. 7-8)</w:t>
            </w:r>
          </w:p>
        </w:tc>
        <w:tc>
          <w:tcPr>
            <w:tcW w:w="0" w:type="auto"/>
          </w:tcPr>
          <w:p>
            <w:r>
              <w:rPr/>
              <w:t xml:space="preserve">Processing beyond purpose; inference of sensitive data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/>
              <w:t xml:space="preserve">Data minimisation; DPIA cross-reference; retention limits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Human dignity and autonomy (Art. 1)</w:t>
            </w:r>
          </w:p>
        </w:tc>
        <w:tc>
          <w:tcPr>
            <w:tcW w:w="0" w:type="auto"/>
          </w:tcPr>
          <w:p>
            <w:r>
              <w:rPr/>
              <w:t xml:space="preserve">Persons not aware a system is involved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/>
              <w:t xml:space="preserve">Art. 50 notices (section 4); Art. 26(11) information to affected persons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Access to services and benefits (Art. 34-36)</w:t>
            </w:r>
          </w:p>
        </w:tc>
        <w:tc>
          <w:tcPr>
            <w:tcW w:w="0" w:type="auto"/>
          </w:tcPr>
          <w:p>
            <w:r>
              <w:rPr/>
              <w:t xml:space="preserve">Wrongful refusal or delay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/>
              <w:t xml:space="preserve">Human review of every negative outcome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Effective remedy (Art. 47)</w:t>
            </w:r>
          </w:p>
        </w:tc>
        <w:tc>
          <w:tcPr>
            <w:tcW w:w="0" w:type="auto"/>
          </w:tcPr>
          <w:p>
            <w:r>
              <w:rPr/>
              <w:t xml:space="preserve">Persons cannot contest the outcome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[L/M/H]</w:t>
            </w:r>
          </w:p>
        </w:tc>
        <w:tc>
          <w:tcPr>
            <w:tcW w:w="0" w:type="auto"/>
          </w:tcPr>
          <w:p>
            <w:r>
              <w:rPr/>
              <w:t xml:space="preserve">Complaint channel and right to explanation (Art. 86)</w:t>
            </w:r>
          </w:p>
        </w:tc>
      </w:tr>
    </w:tbl>
    <w:p/>
    <w:p>
      <w:pPr>
        <w:pStyle w:val="Heading3"/>
      </w:pPr>
      <w:r>
        <w:rPr/>
        <w:t xml:space="preserve">(e) Human oversight measures (per the instructions for use)</w:t>
      </w:r>
    </w:p>
    <w:p>
      <w:r>
        <w:rPr>
          <w:b/>
        </w:rPr>
        <w:t xml:space="preserve">[to complete: who can override, stop or disregard the output, their training and authority (Art. 14, Art. 26(2))]</w:t>
      </w:r>
    </w:p>
    <w:p>
      <w:pPr>
        <w:pStyle w:val="Heading3"/>
      </w:pPr>
      <w:r>
        <w:rPr/>
        <w:t xml:space="preserve">(f) Measures if the risks materialise</w:t>
      </w:r>
    </w:p>
    <w:p>
      <w:r>
        <w:rPr/>
        <w:t xml:space="preserve">• Suspend use and inform the provider and the market surveillance authority without undue delay when a risk under Art. 79(1) is identified (Art. 26(5)).</w:t>
      </w:r>
    </w:p>
    <w:p>
      <w:r>
        <w:rPr/>
        <w:t xml:space="preserve">• Serious incidents: report to the provider first, then to the authority (Art. 73; 15 days, 10 in case of death, 2 for widespread infringement).</w:t>
      </w:r>
    </w:p>
    <w:p>
      <w:r>
        <w:rPr/>
        <w:t xml:space="preserve">• Internal governance: owner of this assessment </w:t>
      </w:r>
      <w:r>
        <w:rPr>
          <w:b/>
        </w:rPr>
        <w:t xml:space="preserve">[name, role]</w:t>
      </w:r>
      <w:r>
        <w:rPr/>
        <w:t xml:space="preserve">; review cadence </w:t>
      </w:r>
      <w:r>
        <w:rPr>
          <w:b/>
        </w:rPr>
        <w:t xml:space="preserve">[e.g. every 6 months and at every material change]</w:t>
      </w:r>
      <w:r>
        <w:rPr/>
        <w:t xml:space="preserve">.</w:t>
      </w:r>
    </w:p>
    <w:p>
      <w:r>
        <w:rPr/>
        <w:t xml:space="preserve">• Complaint mechanism for affected persons: </w:t>
      </w:r>
      <w:r>
        <w:rPr>
          <w:b/>
        </w:rPr>
        <w:t xml:space="preserve">[channel, response time]</w:t>
      </w:r>
      <w:r>
        <w:rPr/>
        <w:t xml:space="preserve">.</w:t>
      </w:r>
    </w:p>
    <w:p>
      <w:r>
        <w:rPr/>
        <w:t xml:space="preserve">• Automatically generated logs kept for at least six months (Art. 26(6)).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en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