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¿Necesita los documentos, no solo la respuesta?</w:t>
      </w:r>
      <w:r>
        <w:rPr/>
        <w:t xml:space="preserve"> Evaluación de impacto relativa a los derechos fundamentales (art. 27), borrador de documentación técnica (anexo IV), plan de alfabetización en IA (art. 4) y avisos del art. 50, redactados a partir de sus respuestas y firmados, en español — PDF + Markdown editable. Sin ledger ni integración. https://attest.piratefly.com/es/pack/?src=template-fria</w:t>
      </w:r>
    </w:p>
    <w:p>
      <w:pPr>
        <w:pStyle w:val="Heading2"/>
      </w:pPr>
      <w:r>
        <w:rPr/>
        <w:t xml:space="preserve">1. Evaluación de impacto relativa a los derechos fundamentales (art. 27)</w:t>
      </w:r>
    </w:p>
    <w:p>
      <w:r>
        <w:rPr/>
        <w:t xml:space="preserve">Obligatoria antes del primer uso para los responsables del despliegue que sean organismos de Derecho público, entidades privadas que presten servicios públicos, y responsables del despliegue de los sistemas de alto riesgo del anexo III, puntos 5, letras b) y c) (solvencia crediticia, tarificación de seguros de vida y salud). Se mantiene actualizada cuando cambia alguno de los elementos siguientes; los resultados se notifican a la autoridad de vigilancia del mercado con su plantilla (art. 27, apartado 3). Cuando exista una evaluación de impacto relativa a la protección de datos (EIPD) conforme al art. 35 del RGPD, esta evaluación la complementa (art. 27, apartado 4).</w:t>
      </w:r>
    </w:p>
    <w:p>
      <w:r>
        <w:rPr>
          <w:b/>
        </w:rPr>
        <w:t xml:space="preserve">Responsable del despliegue:</w:t>
      </w:r>
      <w:r>
        <w:rPr/>
        <w:t xml:space="preserve"> [pendiente de completar] · </w:t>
      </w:r>
      <w:r>
        <w:rPr>
          <w:b/>
        </w:rPr>
        <w:t xml:space="preserve">Sistema de IA:</w:t>
      </w:r>
      <w:r>
        <w:rPr/>
        <w:t xml:space="preserve"> [pendiente de completar] · </w:t>
      </w:r>
      <w:r>
        <w:rPr>
          <w:b/>
        </w:rPr>
        <w:t xml:space="preserve">Ámbito del anexo III:</w:t>
      </w:r>
      <w:r>
        <w:rPr/>
        <w:t xml:space="preserve"> </w:t>
      </w:r>
      <w:r>
        <w:rPr>
          <w:b/>
        </w:rPr>
        <w:t xml:space="preserve">[pendiente de completar: el punto del anexo III, o "no es de alto riesgo" indicando el motivo]</w:t>
      </w:r>
    </w:p>
    <w:p>
      <w:pPr>
        <w:pStyle w:val="Heading3"/>
      </w:pPr>
      <w:r>
        <w:rPr/>
        <w:t xml:space="preserve">a) Procesos en los que se utilizará el sistema</w:t>
      </w:r>
    </w:p>
    <w:p>
      <w:r>
        <w:rPr>
          <w:b/>
        </w:rPr>
        <w:t xml:space="preserve">[pendiente de completar: el proceso del responsable del despliegue y la finalidad prevista, según se describe en las instrucciones de uso del proveedor]</w:t>
      </w:r>
    </w:p>
    <w:p>
      <w:pPr>
        <w:pStyle w:val="Heading3"/>
      </w:pPr>
      <w:r>
        <w:rPr/>
        <w:t xml:space="preserve">b) Período y frecuencia de uso</w:t>
      </w:r>
    </w:p>
    <w:p>
      <w:r>
        <w:rPr>
          <w:b/>
        </w:rPr>
        <w:t xml:space="preserve">[pendiente de completar: la fecha de inicio, la duración prevista y la frecuencia con que se toman decisiones con el sistema]</w:t>
      </w:r>
    </w:p>
    <w:p>
      <w:pPr>
        <w:pStyle w:val="Heading3"/>
      </w:pPr>
      <w:r>
        <w:rPr/>
        <w:t xml:space="preserve">c) Categorías de personas físicas y grupos afectados</w:t>
      </w:r>
    </w:p>
    <w:p>
      <w:r>
        <w:rPr>
          <w:b/>
        </w:rPr>
        <w:t xml:space="preserve">[pendiente de completar: categorías de personas físicas y grupos que probablemente se vean afectados]</w:t>
      </w:r>
    </w:p>
    <w:p>
      <w:r>
        <w:rPr/>
        <w:t xml:space="preserve">Grupos vulnerables que deben considerarse expresamente: menores, personas con discapacidad, personas mayores, personas en situación de vulnerabilidad económica, personas no hablantes nativas.</w:t>
      </w:r>
    </w:p>
    <w:p>
      <w:pPr>
        <w:pStyle w:val="Heading3"/>
      </w:pPr>
      <w:r>
        <w:rPr/>
        <w:t xml:space="preserve">d) Riesgos específicos de perjuicio para esas personas</w:t>
      </w:r>
    </w:p>
    <w:p>
      <w:r>
        <w:rPr/>
        <w:t xml:space="preserve">Sobre la base de la información que el proveedor facilita en virtud del art. 13 (instrucciones de uso) y de los datos descritos a continuación.</w:t>
      </w:r>
    </w:p>
    <w:p>
      <w:r>
        <w:rPr/>
        <w:t xml:space="preserve">Datos de entrada y datos personales: </w:t>
      </w:r>
      <w:r>
        <w:rPr>
          <w:b/>
        </w:rPr>
        <w:t xml:space="preserve">[pendiente de completar: categorías de datos de entrada y datos personales tratados]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Derecho (Carta de la UE)</w:t>
            </w:r>
          </w:p>
        </w:tc>
        <w:tc>
          <w:tcPr>
            <w:tcW w:w="0" w:type="auto"/>
          </w:tcPr>
          <w:p>
            <w:r>
              <w:rPr/>
              <w:t xml:space="preserve">Riesgo en este uso</w:t>
            </w:r>
          </w:p>
        </w:tc>
        <w:tc>
          <w:tcPr>
            <w:tcW w:w="0" w:type="auto"/>
          </w:tcPr>
          <w:p>
            <w:r>
              <w:rPr/>
              <w:t xml:space="preserve">Probabilidad</w:t>
            </w:r>
          </w:p>
        </w:tc>
        <w:tc>
          <w:tcPr>
            <w:tcW w:w="0" w:type="auto"/>
          </w:tcPr>
          <w:p>
            <w:r>
              <w:rPr/>
              <w:t xml:space="preserve">Gravedad</w:t>
            </w:r>
          </w:p>
        </w:tc>
        <w:tc>
          <w:tcPr>
            <w:tcW w:w="0" w:type="auto"/>
          </w:tcPr>
          <w:p>
            <w:r>
              <w:rPr/>
              <w:t xml:space="preserve">Mitigación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No discriminación (art. 21)</w:t>
            </w:r>
          </w:p>
        </w:tc>
        <w:tc>
          <w:tcPr>
            <w:tcW w:w="0" w:type="auto"/>
          </w:tcPr>
          <w:p>
            <w:r>
              <w:rPr/>
              <w:t xml:space="preserve">Resultados que difieren según una característica protegida o un indicador indirecto de ella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/>
              <w:t xml:space="preserve">Revisión periódica de los resultados por grupo; escalado a una persona en casos controvertidos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Vida privada y protección de datos (arts. 7 y 8)</w:t>
            </w:r>
          </w:p>
        </w:tc>
        <w:tc>
          <w:tcPr>
            <w:tcW w:w="0" w:type="auto"/>
          </w:tcPr>
          <w:p>
            <w:r>
              <w:rPr/>
              <w:t xml:space="preserve">Tratamiento más allá de la finalidad; inferencia de datos sensibles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/>
              <w:t xml:space="preserve">Minimización de datos; referencia cruzada con la EIPD; límites de conservación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Dignidad humana y autonomía (art. 1)</w:t>
            </w:r>
          </w:p>
        </w:tc>
        <w:tc>
          <w:tcPr>
            <w:tcW w:w="0" w:type="auto"/>
          </w:tcPr>
          <w:p>
            <w:r>
              <w:rPr/>
              <w:t xml:space="preserve">Personas que no son conscientes de que interviene un sistema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/>
              <w:t xml:space="preserve">Avisos del art. 50 (sección 4); información a las personas afectadas conforme al art. 26, apartado 11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Acceso a servicios y prestaciones (arts. 34 a 36)</w:t>
            </w:r>
          </w:p>
        </w:tc>
        <w:tc>
          <w:tcPr>
            <w:tcW w:w="0" w:type="auto"/>
          </w:tcPr>
          <w:p>
            <w:r>
              <w:rPr/>
              <w:t xml:space="preserve">Denegación o demora indebidas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/>
              <w:t xml:space="preserve">Revisión humana de cada resultado negativo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Tutela judicial efectiva (art. 47)</w:t>
            </w:r>
          </w:p>
        </w:tc>
        <w:tc>
          <w:tcPr>
            <w:tcW w:w="0" w:type="auto"/>
          </w:tcPr>
          <w:p>
            <w:r>
              <w:rPr/>
              <w:t xml:space="preserve">Las personas no pueden impugnar el resultado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[B/M/A]</w:t>
            </w:r>
          </w:p>
        </w:tc>
        <w:tc>
          <w:tcPr>
            <w:tcW w:w="0" w:type="auto"/>
          </w:tcPr>
          <w:p>
            <w:r>
              <w:rPr/>
              <w:t xml:space="preserve">Canal de reclamaciones y derecho a explicación (art. 86)</w:t>
            </w:r>
          </w:p>
        </w:tc>
      </w:tr>
    </w:tbl>
    <w:p/>
    <w:p>
      <w:pPr>
        <w:pStyle w:val="Heading3"/>
      </w:pPr>
      <w:r>
        <w:rPr/>
        <w:t xml:space="preserve">e) Medidas de supervisión humana (conforme a las instrucciones de uso)</w:t>
      </w:r>
    </w:p>
    <w:p>
      <w:r>
        <w:rPr>
          <w:b/>
        </w:rPr>
        <w:t xml:space="preserve">[pendiente de completar: quién puede anular, detener o desatender el resultado, su formación y su autoridad (art. 14 y art. 26, apartado 2)]</w:t>
      </w:r>
    </w:p>
    <w:p>
      <w:pPr>
        <w:pStyle w:val="Heading3"/>
      </w:pPr>
      <w:r>
        <w:rPr/>
        <w:t xml:space="preserve">f) Medidas en caso de materializarse los riesgos</w:t>
      </w:r>
    </w:p>
    <w:p>
      <w:r>
        <w:rPr/>
        <w:t xml:space="preserve">• Suspender el uso e informar al proveedor y a la autoridad de vigilancia del mercado sin demora indebida al detectar un riesgo conforme al art. 79, apartado 1 (art. 26, apartado 5).</w:t>
      </w:r>
    </w:p>
    <w:p>
      <w:r>
        <w:rPr/>
        <w:t xml:space="preserve">• Incidentes graves: notificar primero al proveedor y después a la autoridad (art. 73; 15 días, 10 en caso de fallecimiento, 2 en caso de infracción generalizada).</w:t>
      </w:r>
    </w:p>
    <w:p>
      <w:r>
        <w:rPr/>
        <w:t xml:space="preserve">• Gobernanza interna: responsable de esta evaluación </w:t>
      </w:r>
      <w:r>
        <w:rPr>
          <w:b/>
        </w:rPr>
        <w:t xml:space="preserve">[nombre, cargo]</w:t>
      </w:r>
      <w:r>
        <w:rPr/>
        <w:t xml:space="preserve">; periodicidad de revisión </w:t>
      </w:r>
      <w:r>
        <w:rPr>
          <w:b/>
        </w:rPr>
        <w:t xml:space="preserve">[p. ej., cada 6 meses y ante cualquier cambio sustancial]</w:t>
      </w:r>
      <w:r>
        <w:rPr/>
        <w:t xml:space="preserve">.</w:t>
      </w:r>
    </w:p>
    <w:p>
      <w:r>
        <w:rPr/>
        <w:t xml:space="preserve">• Mecanismo de reclamación para las personas afectadas: </w:t>
      </w:r>
      <w:r>
        <w:rPr>
          <w:b/>
        </w:rPr>
        <w:t xml:space="preserve">[canal, plazo de respuesta]</w:t>
      </w:r>
      <w:r>
        <w:rPr/>
        <w:t xml:space="preserve">.</w:t>
      </w:r>
    </w:p>
    <w:p>
      <w:r>
        <w:rPr/>
        <w:t xml:space="preserve">• Registros generados automáticamente conservados durante al menos seis meses (art. 26, apartado 6).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s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