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Besoin des documents, pas seulement de la réponse ?</w:t>
      </w:r>
      <w:r>
        <w:rPr/>
        <w:t xml:space="preserve"> Analyse d'impact sur les droits fondamentaux (art. 27), projet de documentation technique (annexe IV), plan de maîtrise de l'IA (art. 4) et mentions de l'art. 50, rédigés à partir de vos réponses et signés, en français — PDF + Markdown modifiable. Sans ledger ni intégration. https://attest.piratefly.com/fr/pack/?src=template-fria</w:t>
      </w:r>
    </w:p>
    <w:p>
      <w:pPr>
        <w:pStyle w:val="Heading2"/>
      </w:pPr>
      <w:r>
        <w:rPr/>
        <w:t xml:space="preserve">1. Analyse d'impact sur les droits fondamentaux (art. 27)</w:t>
      </w:r>
    </w:p>
    <w:p>
      <w:r>
        <w:rPr/>
        <w:t xml:space="preserve">Obligatoire avant la première utilisation par les déployeurs qui sont des organismes de droit public, des entités privées fournissant des services publics, et les déployeurs des systèmes à haut risque visés à l'annexe III, points 5 b) et 5 c) (solvabilité, tarification de l'assurance-vie et de l'assurance maladie). Tenue à jour lorsque l'un des éléments ci-dessous change ; les résultats sont notifiés à l'autorité de surveillance du marché au moyen de son modèle (art. 27, paragraphe 3). Lorsqu'une analyse d'impact relative à la protection des données (AIPD) au titre de l'article 35 du RGPD existe déjà, la présente analyse la complète (art. 27, paragraphe 4).</w:t>
      </w:r>
    </w:p>
    <w:p>
      <w:r>
        <w:rPr>
          <w:b/>
        </w:rPr>
        <w:t xml:space="preserve">Déployeur :</w:t>
      </w:r>
      <w:r>
        <w:rPr/>
        <w:t xml:space="preserve"> [à compléter] · </w:t>
      </w:r>
      <w:r>
        <w:rPr>
          <w:b/>
        </w:rPr>
        <w:t xml:space="preserve">Système d'IA :</w:t>
      </w:r>
      <w:r>
        <w:rPr/>
        <w:t xml:space="preserve"> [à compléter] · </w:t>
      </w:r>
      <w:r>
        <w:rPr>
          <w:b/>
        </w:rPr>
        <w:t xml:space="preserve">Domaine de l'annexe III :</w:t>
      </w:r>
      <w:r>
        <w:rPr/>
        <w:t xml:space="preserve"> </w:t>
      </w:r>
      <w:r>
        <w:rPr>
          <w:b/>
        </w:rPr>
        <w:t xml:space="preserve">[à compléter: point de l'annexe III, ou « non à haut risque » avec le motif]</w:t>
      </w:r>
    </w:p>
    <w:p>
      <w:pPr>
        <w:pStyle w:val="Heading3"/>
      </w:pPr>
      <w:r>
        <w:rPr/>
        <w:t xml:space="preserve">a) Processus dans lesquels le système est utilisé</w:t>
      </w:r>
    </w:p>
    <w:p>
      <w:r>
        <w:rPr>
          <w:b/>
        </w:rPr>
        <w:t xml:space="preserve">[à compléter: le processus du déployeur et la finalité prévue, tels que décrits dans la notice d'utilisation du fournisseur]</w:t>
      </w:r>
    </w:p>
    <w:p>
      <w:pPr>
        <w:pStyle w:val="Heading3"/>
      </w:pPr>
      <w:r>
        <w:rPr/>
        <w:t xml:space="preserve">b) Période et fréquence d'utilisation</w:t>
      </w:r>
    </w:p>
    <w:p>
      <w:r>
        <w:rPr>
          <w:b/>
        </w:rPr>
        <w:t xml:space="preserve">[à compléter: date de début, durée prévue et fréquence à laquelle des décisions sont prises à l'aide du système]</w:t>
      </w:r>
    </w:p>
    <w:p>
      <w:pPr>
        <w:pStyle w:val="Heading3"/>
      </w:pPr>
      <w:r>
        <w:rPr/>
        <w:t xml:space="preserve">c) Catégories de personnes physiques et de groupes concernés</w:t>
      </w:r>
    </w:p>
    <w:p>
      <w:r>
        <w:rPr>
          <w:b/>
        </w:rPr>
        <w:t xml:space="preserve">[à compléter: catégories de personnes physiques et de groupes susceptibles d'être concernés]</w:t>
      </w:r>
    </w:p>
    <w:p>
      <w:r>
        <w:rPr/>
        <w:t xml:space="preserve">Groupes vulnérables à prendre explicitement en compte : mineurs, personnes handicapées, personnes âgées, personnes en situation de précarité économique, personnes ne maîtrisant pas la langue.</w:t>
      </w:r>
    </w:p>
    <w:p>
      <w:pPr>
        <w:pStyle w:val="Heading3"/>
      </w:pPr>
      <w:r>
        <w:rPr/>
        <w:t xml:space="preserve">d) Risques spécifiques d'atteinte pour ces personnes</w:t>
      </w:r>
    </w:p>
    <w:p>
      <w:r>
        <w:rPr/>
        <w:t xml:space="preserve">Sur la base des informations fournies par le fournisseur au titre de l'art. 13 (notice d'utilisation) et des données décrites ci-dessous.</w:t>
      </w:r>
    </w:p>
    <w:p>
      <w:r>
        <w:rPr/>
        <w:t xml:space="preserve">Données d'entrée et données à caractère personnel : </w:t>
      </w:r>
      <w:r>
        <w:rPr>
          <w:b/>
        </w:rPr>
        <w:t xml:space="preserve">[à compléter: catégories de données d'entrée et de données à caractère personnel traitées]</w:t>
      </w:r>
    </w:p>
    <w:tbl>
      <w:tblPr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/>
        <w:gridCol/>
        <w:gridCol/>
        <w:gridCol/>
        <w:gridCol/>
      </w:tblGrid>
      <w:tr>
        <w:tc>
          <w:tcPr>
            <w:tcW w:w="0" w:type="auto"/>
          </w:tcPr>
          <w:p>
            <w:r>
              <w:rPr/>
              <w:t xml:space="preserve">Droit (Charte des droits fondamentaux de l'UE)</w:t>
            </w:r>
          </w:p>
        </w:tc>
        <w:tc>
          <w:tcPr>
            <w:tcW w:w="0" w:type="auto"/>
          </w:tcPr>
          <w:p>
            <w:r>
              <w:rPr/>
              <w:t xml:space="preserve">Risque dans ce déploiement</w:t>
            </w:r>
          </w:p>
        </w:tc>
        <w:tc>
          <w:tcPr>
            <w:tcW w:w="0" w:type="auto"/>
          </w:tcPr>
          <w:p>
            <w:r>
              <w:rPr/>
              <w:t xml:space="preserve">Probabilité</w:t>
            </w:r>
          </w:p>
        </w:tc>
        <w:tc>
          <w:tcPr>
            <w:tcW w:w="0" w:type="auto"/>
          </w:tcPr>
          <w:p>
            <w:r>
              <w:rPr/>
              <w:t xml:space="preserve">Gravité</w:t>
            </w:r>
          </w:p>
        </w:tc>
        <w:tc>
          <w:tcPr>
            <w:tcW w:w="0" w:type="auto"/>
          </w:tcPr>
          <w:p>
            <w:r>
              <w:rPr/>
              <w:t xml:space="preserve">Mesure d'atténuation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Non-discrimination (art. 21)</w:t>
            </w:r>
          </w:p>
        </w:tc>
        <w:tc>
          <w:tcPr>
            <w:tcW w:w="0" w:type="auto"/>
          </w:tcPr>
          <w:p>
            <w:r>
              <w:rPr/>
              <w:t xml:space="preserve">Résultats différant selon une caractéristique protégée ou un indicateur qui s'y substitue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[F/M/É]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[F/M/É]</w:t>
            </w:r>
          </w:p>
        </w:tc>
        <w:tc>
          <w:tcPr>
            <w:tcW w:w="0" w:type="auto"/>
          </w:tcPr>
          <w:p>
            <w:r>
              <w:rPr/>
              <w:t xml:space="preserve">Examen périodique des résultats par groupe ; escalade vers un contrôle humain pour les cas contestés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Vie privée et protection des données à caractère personnel (art. 7-8)</w:t>
            </w:r>
          </w:p>
        </w:tc>
        <w:tc>
          <w:tcPr>
            <w:tcW w:w="0" w:type="auto"/>
          </w:tcPr>
          <w:p>
            <w:r>
              <w:rPr/>
              <w:t xml:space="preserve">Traitement allant au-delà de la finalité ; inférence de données sensibles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[F/M/É]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[F/M/É]</w:t>
            </w:r>
          </w:p>
        </w:tc>
        <w:tc>
          <w:tcPr>
            <w:tcW w:w="0" w:type="auto"/>
          </w:tcPr>
          <w:p>
            <w:r>
              <w:rPr/>
              <w:t xml:space="preserve">Minimisation des données ; renvoi croisé à l'AIPD ; limites de conservation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Dignité humaine et autonomie (art. 1er)</w:t>
            </w:r>
          </w:p>
        </w:tc>
        <w:tc>
          <w:tcPr>
            <w:tcW w:w="0" w:type="auto"/>
          </w:tcPr>
          <w:p>
            <w:r>
              <w:rPr/>
              <w:t xml:space="preserve">Personnes non informées de l'intervention d'un système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[F/M/É]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[F/M/É]</w:t>
            </w:r>
          </w:p>
        </w:tc>
        <w:tc>
          <w:tcPr>
            <w:tcW w:w="0" w:type="auto"/>
          </w:tcPr>
          <w:p>
            <w:r>
              <w:rPr/>
              <w:t xml:space="preserve">Informations au titre de l'art. 50 (section 4) ; information des personnes concernées au titre de l'art. 26, paragraphe 11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Accès aux services et prestations (art. 34-36)</w:t>
            </w:r>
          </w:p>
        </w:tc>
        <w:tc>
          <w:tcPr>
            <w:tcW w:w="0" w:type="auto"/>
          </w:tcPr>
          <w:p>
            <w:r>
              <w:rPr/>
              <w:t xml:space="preserve">Refus ou retard injustifié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[F/M/É]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[F/M/É]</w:t>
            </w:r>
          </w:p>
        </w:tc>
        <w:tc>
          <w:tcPr>
            <w:tcW w:w="0" w:type="auto"/>
          </w:tcPr>
          <w:p>
            <w:r>
              <w:rPr/>
              <w:t xml:space="preserve">Contrôle humain de chaque résultat défavorable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Droit à un recours effectif (art. 47)</w:t>
            </w:r>
          </w:p>
        </w:tc>
        <w:tc>
          <w:tcPr>
            <w:tcW w:w="0" w:type="auto"/>
          </w:tcPr>
          <w:p>
            <w:r>
              <w:rPr/>
              <w:t xml:space="preserve">Impossibilité pour les personnes de contester le résultat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[F/M/É]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[F/M/É]</w:t>
            </w:r>
          </w:p>
        </w:tc>
        <w:tc>
          <w:tcPr>
            <w:tcW w:w="0" w:type="auto"/>
          </w:tcPr>
          <w:p>
            <w:r>
              <w:rPr/>
              <w:t xml:space="preserve">Canal de réclamation et droit à une explication (art. 86)</w:t>
            </w:r>
          </w:p>
        </w:tc>
      </w:tr>
    </w:tbl>
    <w:p/>
    <w:p>
      <w:pPr>
        <w:pStyle w:val="Heading3"/>
      </w:pPr>
      <w:r>
        <w:rPr/>
        <w:t xml:space="preserve">e) Mesures de contrôle humain (selon la notice d'utilisation)</w:t>
      </w:r>
    </w:p>
    <w:p>
      <w:r>
        <w:rPr>
          <w:b/>
        </w:rPr>
        <w:t xml:space="preserve">[à compléter: qui peut annuler, arrêter ou ignorer le résultat, sa formation et son autorité (art. 14, art. 26, paragraphe 2)]</w:t>
      </w:r>
    </w:p>
    <w:p>
      <w:pPr>
        <w:pStyle w:val="Heading3"/>
      </w:pPr>
      <w:r>
        <w:rPr/>
        <w:t xml:space="preserve">f) Mesures en cas de matérialisation des risques</w:t>
      </w:r>
    </w:p>
    <w:p>
      <w:r>
        <w:rPr/>
        <w:t xml:space="preserve">• Suspendre l'utilisation et informer le fournisseur et l'autorité de surveillance du marché sans retard indu lorsqu'un risque au sens de l'art. 79, paragraphe 1, est identifié (art. 26, paragraphe 5).</w:t>
      </w:r>
    </w:p>
    <w:p>
      <w:r>
        <w:rPr/>
        <w:t xml:space="preserve">• Incidents graves : signalement au fournisseur en premier lieu, puis à l'autorité (art. 73 ; 15 jours, 10 en cas de décès, 2 en cas d'infraction généralisée).</w:t>
      </w:r>
    </w:p>
    <w:p>
      <w:r>
        <w:rPr/>
        <w:t xml:space="preserve">• Gouvernance interne : responsable de la présente analyse </w:t>
      </w:r>
      <w:r>
        <w:rPr>
          <w:b/>
        </w:rPr>
        <w:t xml:space="preserve">[nom, fonction]</w:t>
      </w:r>
      <w:r>
        <w:rPr/>
        <w:t xml:space="preserve"> ; fréquence de révision </w:t>
      </w:r>
      <w:r>
        <w:rPr>
          <w:b/>
        </w:rPr>
        <w:t xml:space="preserve">[p. ex. tous les 6 mois et à chaque changement substantiel]</w:t>
      </w:r>
      <w:r>
        <w:rPr/>
        <w:t xml:space="preserve">.</w:t>
      </w:r>
    </w:p>
    <w:p>
      <w:r>
        <w:rPr/>
        <w:t xml:space="preserve">• Mécanisme de réclamation pour les personnes concernées : </w:t>
      </w:r>
      <w:r>
        <w:rPr>
          <w:b/>
        </w:rPr>
        <w:t xml:space="preserve">[canal, délai de réponse]</w:t>
      </w:r>
      <w:r>
        <w:rPr/>
        <w:t xml:space="preserve">.</w:t>
      </w:r>
    </w:p>
    <w:p>
      <w:r>
        <w:rPr/>
        <w:t xml:space="preserve">• Journaux générés automatiquement conservés pendant au moins six mois (art. 26, paragraphe 6).</w:t>
      </w:r>
    </w:p>
    <w:sectPr>
      <w:pgSz w:w="11906" w:h="16838"/>
      <w:pgMar w:top="1134" w:right="1134" w:bottom="1134" w:left="113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lang w:val="fr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spacing w:before="240" w:after="80"/>
    </w:pPr>
    <w:rPr>
      <w:b/>
      <w:sz w:val="32"/>
    </w:rPr>
  </w:style>
  <w:style w:type="paragraph" w:styleId="Heading2">
    <w:name w:val="Heading 2"/>
    <w:basedOn w:val="Normal"/>
    <w:pPr>
      <w:spacing w:before="240" w:after="80"/>
    </w:pPr>
    <w:rPr>
      <w:b/>
      <w:sz w:val="28"/>
    </w:rPr>
  </w:style>
  <w:style w:type="paragraph" w:styleId="Heading3">
    <w:name w:val="Heading 3"/>
    <w:basedOn w:val="Normal"/>
    <w:pPr>
      <w:spacing w:before="240" w:after="80"/>
    </w:pPr>
    <w:rPr>
      <w:b/>
      <w:sz w:val="24"/>
    </w:rPr>
  </w:style>
  <w:style w:type="paragraph" w:styleId="Code">
    <w:name w:val="Code"/>
    <w:basedOn w:val="Normal"/>
    <w:pPr>
      <w:spacing w:after="0"/>
      <w:shd w:val="clear" w:fill="F2F2F2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