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Ti servono i documenti, non solo la risposta?</w:t>
      </w:r>
      <w:r>
        <w:rPr/>
        <w:t xml:space="preserve"> Valutazione d'impatto sui diritti fondamentali (art. 27), bozza di documentazione tecnica (allegato IV), piano di alfabetizzazione IA (art. 4) e informative dell'art. 50, redatti dalle tue risposte e firmati, in italiano — PDF + Markdown modificabile. Nessun ledger né integrazione. https://attest.piratefly.com/it/pack/?src=template-fria</w:t>
      </w:r>
    </w:p>
    <w:p>
      <w:pPr>
        <w:pStyle w:val="Heading2"/>
      </w:pPr>
      <w:r>
        <w:rPr/>
        <w:t xml:space="preserve">1. Valutazione d'impatto sui diritti fondamentali (art. 27)</w:t>
      </w:r>
    </w:p>
    <w:p>
      <w:r>
        <w:rPr/>
        <w:t xml:space="preserve">Obbligatoria prima del primo utilizzo da parte dei deployer che sono organismi di diritto pubblico, soggetti privati che forniscono servizi pubblici, e deployer dei sistemi ad alto rischio di cui all'allegato III, punti 5, lettere b) e c) (merito creditizio, tariffazione di assicurazioni sulla vita e sulla salute). Va mantenuta aggiornata quando cambia uno degli elementi sottostanti; i risultati sono notificati all'autorità di vigilanza del mercato secondo il suo modello (art. 27, paragrafo 3). Se esiste una valutazione d'impatto sulla protezione dei dati (DPIA) ai sensi dell'art. 35 del GDPR, questa valutazione la integra (art. 27, paragrafo 4).</w:t>
      </w:r>
    </w:p>
    <w:p>
      <w:r>
        <w:rPr>
          <w:b/>
        </w:rPr>
        <w:t xml:space="preserve">Deployer:</w:t>
      </w:r>
      <w:r>
        <w:rPr/>
        <w:t xml:space="preserve"> [da completare] · </w:t>
      </w:r>
      <w:r>
        <w:rPr>
          <w:b/>
        </w:rPr>
        <w:t xml:space="preserve">Sistema di IA:</w:t>
      </w:r>
      <w:r>
        <w:rPr/>
        <w:t xml:space="preserve"> [da completare] · </w:t>
      </w:r>
      <w:r>
        <w:rPr>
          <w:b/>
        </w:rPr>
        <w:t xml:space="preserve">Ambito dell'allegato III:</w:t>
      </w:r>
      <w:r>
        <w:rPr/>
        <w:t xml:space="preserve"> </w:t>
      </w:r>
      <w:r>
        <w:rPr>
          <w:b/>
        </w:rPr>
        <w:t xml:space="preserve">[da completare: punto dell'allegato III, oppure "non ad alto rischio" con la relativa motivazione]</w:t>
      </w:r>
    </w:p>
    <w:p>
      <w:pPr>
        <w:pStyle w:val="Heading3"/>
      </w:pPr>
      <w:r>
        <w:rPr/>
        <w:t xml:space="preserve">(a) Processi in cui il sistema è utilizzato</w:t>
      </w:r>
    </w:p>
    <w:p>
      <w:r>
        <w:rPr>
          <w:b/>
        </w:rPr>
        <w:t xml:space="preserve">[da completare: il processo del deployer e la finalità prevista, come descritti nelle istruzioni per l'uso del fornitore]</w:t>
      </w:r>
    </w:p>
    <w:p>
      <w:pPr>
        <w:pStyle w:val="Heading3"/>
      </w:pPr>
      <w:r>
        <w:rPr/>
        <w:t xml:space="preserve">(b) Periodo e frequenza di utilizzo</w:t>
      </w:r>
    </w:p>
    <w:p>
      <w:r>
        <w:rPr>
          <w:b/>
        </w:rPr>
        <w:t xml:space="preserve">[da completare: data di avvio, durata prevista e frequenza con cui vengono prese decisioni con il sistema]</w:t>
      </w:r>
    </w:p>
    <w:p>
      <w:pPr>
        <w:pStyle w:val="Heading3"/>
      </w:pPr>
      <w:r>
        <w:rPr/>
        <w:t xml:space="preserve">(c) Categorie di persone fisiche e gruppi interessati</w:t>
      </w:r>
    </w:p>
    <w:p>
      <w:r>
        <w:rPr>
          <w:b/>
        </w:rPr>
        <w:t xml:space="preserve">[da completare: categorie di persone fisiche e gruppi potenzialmente interessati]</w:t>
      </w:r>
    </w:p>
    <w:p>
      <w:r>
        <w:rPr/>
        <w:t xml:space="preserve">Gruppi vulnerabili da considerare esplicitamente: minori, persone con disabilità, persone anziane, persone in difficoltà economica, persone non madrelingua.</w:t>
      </w:r>
    </w:p>
    <w:p>
      <w:pPr>
        <w:pStyle w:val="Heading3"/>
      </w:pPr>
      <w:r>
        <w:rPr/>
        <w:t xml:space="preserve">(d) Rischi specifici di danno per tali persone</w:t>
      </w:r>
    </w:p>
    <w:p>
      <w:r>
        <w:rPr/>
        <w:t xml:space="preserve">Sulla base delle informazioni fornite dal fornitore ai sensi dell'art. 13 (istruzioni per l'uso) e dei dati descritti di seguito.</w:t>
      </w:r>
    </w:p>
    <w:p>
      <w:r>
        <w:rPr/>
        <w:t xml:space="preserve">Dati di input e dati personali: </w:t>
      </w:r>
      <w:r>
        <w:rPr>
          <w:b/>
        </w:rPr>
        <w:t xml:space="preserve">[da completare: categorie di dati di input e dati personali trattati]</w:t>
      </w:r>
    </w:p>
    <w:tbl>
      <w:tblPr>
        <w:tblW w:w="5000" w:type="pct"/>
        <w:tblBorders>
          <w:top w:val="single" w:sz="4" w:color="999999"/>
          <w:left w:val="single" w:sz="4" w:color="999999"/>
          <w:bottom w:val="single" w:sz="4" w:color="999999"/>
          <w:right w:val="single" w:sz="4" w:color="999999"/>
          <w:insideH w:val="single" w:sz="4" w:color="999999"/>
          <w:insideV w:val="single" w:sz="4" w:color="999999"/>
        </w:tblBorders>
      </w:tblPr>
      <w:tblGrid>
        <w:gridCol/>
        <w:gridCol/>
        <w:gridCol/>
        <w:gridCol/>
        <w:gridCol/>
      </w:tblGrid>
      <w:tr>
        <w:tc>
          <w:tcPr>
            <w:tcW w:w="0" w:type="auto"/>
          </w:tcPr>
          <w:p>
            <w:r>
              <w:rPr/>
              <w:t xml:space="preserve">Diritto (Carta UE)</w:t>
            </w:r>
          </w:p>
        </w:tc>
        <w:tc>
          <w:tcPr>
            <w:tcW w:w="0" w:type="auto"/>
          </w:tcPr>
          <w:p>
            <w:r>
              <w:rPr/>
              <w:t xml:space="preserve">Rischio in questo utilizzo</w:t>
            </w:r>
          </w:p>
        </w:tc>
        <w:tc>
          <w:tcPr>
            <w:tcW w:w="0" w:type="auto"/>
          </w:tcPr>
          <w:p>
            <w:r>
              <w:rPr/>
              <w:t xml:space="preserve">Probabilità</w:t>
            </w:r>
          </w:p>
        </w:tc>
        <w:tc>
          <w:tcPr>
            <w:tcW w:w="0" w:type="auto"/>
          </w:tcPr>
          <w:p>
            <w:r>
              <w:rPr/>
              <w:t xml:space="preserve">Gravità</w:t>
            </w:r>
          </w:p>
        </w:tc>
        <w:tc>
          <w:tcPr>
            <w:tcW w:w="0" w:type="auto"/>
          </w:tcPr>
          <w:p>
            <w:r>
              <w:rPr/>
              <w:t xml:space="preserve">Mitigazione</w:t>
            </w:r>
          </w:p>
        </w:tc>
      </w:tr>
      <w:tr>
        <w:tc>
          <w:tcPr>
            <w:tcW w:w="0" w:type="auto"/>
          </w:tcPr>
          <w:p>
            <w:r>
              <w:rPr/>
              <w:t xml:space="preserve">Non discriminazione (art. 21)</w:t>
            </w:r>
          </w:p>
        </w:tc>
        <w:tc>
          <w:tcPr>
            <w:tcW w:w="0" w:type="auto"/>
          </w:tcPr>
          <w:p>
            <w:r>
              <w:rPr/>
              <w:t xml:space="preserve">Output che variano in base a caratteristiche protette o loro proxy</w:t>
            </w:r>
          </w:p>
        </w:tc>
        <w:tc>
          <w:tcPr>
            <w:tcW w:w="0" w:type="auto"/>
          </w:tcPr>
          <w:p>
            <w:r>
              <w:rPr>
                <w:b/>
              </w:rPr>
              <w:t xml:space="preserve">[B/M/A]</w:t>
            </w:r>
          </w:p>
        </w:tc>
        <w:tc>
          <w:tcPr>
            <w:tcW w:w="0" w:type="auto"/>
          </w:tcPr>
          <w:p>
            <w:r>
              <w:rPr>
                <w:b/>
              </w:rPr>
              <w:t xml:space="preserve">[B/M/A]</w:t>
            </w:r>
          </w:p>
        </w:tc>
        <w:tc>
          <w:tcPr>
            <w:tcW w:w="0" w:type="auto"/>
          </w:tcPr>
          <w:p>
            <w:r>
              <w:rPr/>
              <w:t xml:space="preserve">Revisione periodica degli output per gruppo; escalation a un essere umano nei casi contestati</w:t>
            </w:r>
          </w:p>
        </w:tc>
      </w:tr>
      <w:tr>
        <w:tc>
          <w:tcPr>
            <w:tcW w:w="0" w:type="auto"/>
          </w:tcPr>
          <w:p>
            <w:r>
              <w:rPr/>
              <w:t xml:space="preserve">Vita privata e protezione dei dati (artt. 7-8)</w:t>
            </w:r>
          </w:p>
        </w:tc>
        <w:tc>
          <w:tcPr>
            <w:tcW w:w="0" w:type="auto"/>
          </w:tcPr>
          <w:p>
            <w:r>
              <w:rPr/>
              <w:t xml:space="preserve">Trattamento oltre la finalità; inferenza di dati sensibili</w:t>
            </w:r>
          </w:p>
        </w:tc>
        <w:tc>
          <w:tcPr>
            <w:tcW w:w="0" w:type="auto"/>
          </w:tcPr>
          <w:p>
            <w:r>
              <w:rPr>
                <w:b/>
              </w:rPr>
              <w:t xml:space="preserve">[B/M/A]</w:t>
            </w:r>
          </w:p>
        </w:tc>
        <w:tc>
          <w:tcPr>
            <w:tcW w:w="0" w:type="auto"/>
          </w:tcPr>
          <w:p>
            <w:r>
              <w:rPr>
                <w:b/>
              </w:rPr>
              <w:t xml:space="preserve">[B/M/A]</w:t>
            </w:r>
          </w:p>
        </w:tc>
        <w:tc>
          <w:tcPr>
            <w:tcW w:w="0" w:type="auto"/>
          </w:tcPr>
          <w:p>
            <w:r>
              <w:rPr/>
              <w:t xml:space="preserve">Minimizzazione dei dati; rinvio incrociato alla DPIA; limiti di conservazione</w:t>
            </w:r>
          </w:p>
        </w:tc>
      </w:tr>
      <w:tr>
        <w:tc>
          <w:tcPr>
            <w:tcW w:w="0" w:type="auto"/>
          </w:tcPr>
          <w:p>
            <w:r>
              <w:rPr/>
              <w:t xml:space="preserve">Dignità umana e autonomia (art. 1)</w:t>
            </w:r>
          </w:p>
        </w:tc>
        <w:tc>
          <w:tcPr>
            <w:tcW w:w="0" w:type="auto"/>
          </w:tcPr>
          <w:p>
            <w:r>
              <w:rPr/>
              <w:t xml:space="preserve">Persone ignare del coinvolgimento di un sistema</w:t>
            </w:r>
          </w:p>
        </w:tc>
        <w:tc>
          <w:tcPr>
            <w:tcW w:w="0" w:type="auto"/>
          </w:tcPr>
          <w:p>
            <w:r>
              <w:rPr>
                <w:b/>
              </w:rPr>
              <w:t xml:space="preserve">[B/M/A]</w:t>
            </w:r>
          </w:p>
        </w:tc>
        <w:tc>
          <w:tcPr>
            <w:tcW w:w="0" w:type="auto"/>
          </w:tcPr>
          <w:p>
            <w:r>
              <w:rPr>
                <w:b/>
              </w:rPr>
              <w:t xml:space="preserve">[B/M/A]</w:t>
            </w:r>
          </w:p>
        </w:tc>
        <w:tc>
          <w:tcPr>
            <w:tcW w:w="0" w:type="auto"/>
          </w:tcPr>
          <w:p>
            <w:r>
              <w:rPr/>
              <w:t xml:space="preserve">Avvisi ex art. 50 (sezione 4); informazione alle persone interessate ex art. 26, paragrafo 11</w:t>
            </w:r>
          </w:p>
        </w:tc>
      </w:tr>
      <w:tr>
        <w:tc>
          <w:tcPr>
            <w:tcW w:w="0" w:type="auto"/>
          </w:tcPr>
          <w:p>
            <w:r>
              <w:rPr/>
              <w:t xml:space="preserve">Accesso a servizi e prestazioni (artt. 34-36)</w:t>
            </w:r>
          </w:p>
        </w:tc>
        <w:tc>
          <w:tcPr>
            <w:tcW w:w="0" w:type="auto"/>
          </w:tcPr>
          <w:p>
            <w:r>
              <w:rPr/>
              <w:t xml:space="preserve">Rifiuto o ritardo indebito</w:t>
            </w:r>
          </w:p>
        </w:tc>
        <w:tc>
          <w:tcPr>
            <w:tcW w:w="0" w:type="auto"/>
          </w:tcPr>
          <w:p>
            <w:r>
              <w:rPr>
                <w:b/>
              </w:rPr>
              <w:t xml:space="preserve">[B/M/A]</w:t>
            </w:r>
          </w:p>
        </w:tc>
        <w:tc>
          <w:tcPr>
            <w:tcW w:w="0" w:type="auto"/>
          </w:tcPr>
          <w:p>
            <w:r>
              <w:rPr>
                <w:b/>
              </w:rPr>
              <w:t xml:space="preserve">[B/M/A]</w:t>
            </w:r>
          </w:p>
        </w:tc>
        <w:tc>
          <w:tcPr>
            <w:tcW w:w="0" w:type="auto"/>
          </w:tcPr>
          <w:p>
            <w:r>
              <w:rPr/>
              <w:t xml:space="preserve">Revisione umana di ogni esito negativo</w:t>
            </w:r>
          </w:p>
        </w:tc>
      </w:tr>
      <w:tr>
        <w:tc>
          <w:tcPr>
            <w:tcW w:w="0" w:type="auto"/>
          </w:tcPr>
          <w:p>
            <w:r>
              <w:rPr/>
              <w:t xml:space="preserve">Ricorso effettivo (art. 47)</w:t>
            </w:r>
          </w:p>
        </w:tc>
        <w:tc>
          <w:tcPr>
            <w:tcW w:w="0" w:type="auto"/>
          </w:tcPr>
          <w:p>
            <w:r>
              <w:rPr/>
              <w:t xml:space="preserve">Le persone non possono contestare l'esito</w:t>
            </w:r>
          </w:p>
        </w:tc>
        <w:tc>
          <w:tcPr>
            <w:tcW w:w="0" w:type="auto"/>
          </w:tcPr>
          <w:p>
            <w:r>
              <w:rPr>
                <w:b/>
              </w:rPr>
              <w:t xml:space="preserve">[B/M/A]</w:t>
            </w:r>
          </w:p>
        </w:tc>
        <w:tc>
          <w:tcPr>
            <w:tcW w:w="0" w:type="auto"/>
          </w:tcPr>
          <w:p>
            <w:r>
              <w:rPr>
                <w:b/>
              </w:rPr>
              <w:t xml:space="preserve">[B/M/A]</w:t>
            </w:r>
          </w:p>
        </w:tc>
        <w:tc>
          <w:tcPr>
            <w:tcW w:w="0" w:type="auto"/>
          </w:tcPr>
          <w:p>
            <w:r>
              <w:rPr/>
              <w:t xml:space="preserve">Canale di reclamo e diritto a una spiegazione (art. 86)</w:t>
            </w:r>
          </w:p>
        </w:tc>
      </w:tr>
    </w:tbl>
    <w:p/>
    <w:p>
      <w:pPr>
        <w:pStyle w:val="Heading3"/>
      </w:pPr>
      <w:r>
        <w:rPr/>
        <w:t xml:space="preserve">(e) Misure di sorveglianza umana (secondo le istruzioni per l'uso)</w:t>
      </w:r>
    </w:p>
    <w:p>
      <w:r>
        <w:rPr>
          <w:b/>
        </w:rPr>
        <w:t xml:space="preserve">[da completare: chi può annullare, interrompere o disattendere l'output, la relativa formazione e autorità (art. 14, art. 26, paragrafo 2)]</w:t>
      </w:r>
    </w:p>
    <w:p>
      <w:pPr>
        <w:pStyle w:val="Heading3"/>
      </w:pPr>
      <w:r>
        <w:rPr/>
        <w:t xml:space="preserve">(f) Misure in caso di concretizzazione dei rischi</w:t>
      </w:r>
    </w:p>
    <w:p>
      <w:r>
        <w:rPr/>
        <w:t xml:space="preserve">• Sospendere l'utilizzo e informare senza indebito ritardo il fornitore e l'autorità di vigilanza del mercato quando viene individuato un rischio ai sensi dell'art. 79, paragrafo 1 (art. 26, paragrafo 5).</w:t>
      </w:r>
    </w:p>
    <w:p>
      <w:r>
        <w:rPr/>
        <w:t xml:space="preserve">• Incidenti gravi: segnalare prima al fornitore, poi all'autorità (art. 73; 15 giorni, 10 in caso di morte, 2 per violazione diffusa).</w:t>
      </w:r>
    </w:p>
    <w:p>
      <w:r>
        <w:rPr/>
        <w:t xml:space="preserve">• Governance interna: responsabile di questa valutazione </w:t>
      </w:r>
      <w:r>
        <w:rPr>
          <w:b/>
        </w:rPr>
        <w:t xml:space="preserve">[nome, ruolo]</w:t>
      </w:r>
      <w:r>
        <w:rPr/>
        <w:t xml:space="preserve">; cadenza di revisione </w:t>
      </w:r>
      <w:r>
        <w:rPr>
          <w:b/>
        </w:rPr>
        <w:t xml:space="preserve">[es. ogni 6 mesi e a ogni modifica sostanziale]</w:t>
      </w:r>
      <w:r>
        <w:rPr/>
        <w:t xml:space="preserve">.</w:t>
      </w:r>
    </w:p>
    <w:p>
      <w:r>
        <w:rPr/>
        <w:t xml:space="preserve">• Meccanismo di reclamo per le persone interessate: </w:t>
      </w:r>
      <w:r>
        <w:rPr>
          <w:b/>
        </w:rPr>
        <w:t xml:space="preserve">[canale, tempi di risposta]</w:t>
      </w:r>
      <w:r>
        <w:rPr/>
        <w:t xml:space="preserve">.</w:t>
      </w:r>
    </w:p>
    <w:p>
      <w:r>
        <w:rPr/>
        <w:t xml:space="preserve">• Registri generati automaticamente conservati per almeno sei mesi (art. 26, paragrafo 6).</w:t>
      </w:r>
    </w:p>
    <w:sectPr>
      <w:pgSz w:w="11906" w:h="16838"/>
      <w:pgMar w:top="1134" w:right="1134" w:bottom="1134" w:left="1134" w:header="0" w:footer="0" w:gutter="0"/>
    </w:sectPr>
  </w:body>
</w:document>
</file>

<file path=word/styles.xml><?xml version="1.0" encoding="utf-8"?>
<w:styles xmlns:w="http://schemas.openxmlformats.org/wordprocessingml/2006/main">
  <w:docDefaults>
    <w:rPrDefault>
      <w:rPr>
        <w:rFonts w:ascii="Calibri" w:hAnsi="Calibri"/>
        <w:sz w:val="22"/>
        <w:lang w:val="it"/>
      </w:rPr>
    </w:rPrDefault>
    <w:pPrDefault>
      <w:pPr>
        <w:spacing w:after="120"/>
      </w:pPr>
    </w:pPrDefault>
  </w:docDefaults>
  <w:style w:type="paragraph" w:default="1" w:styleId="Normal">
    <w:name w:val="Normal"/>
  </w:style>
  <w:style w:type="paragraph" w:styleId="Heading1">
    <w:name w:val="Heading 1"/>
    <w:basedOn w:val="Normal"/>
    <w:pPr>
      <w:spacing w:before="240" w:after="80"/>
    </w:pPr>
    <w:rPr>
      <w:b/>
      <w:sz w:val="32"/>
    </w:rPr>
  </w:style>
  <w:style w:type="paragraph" w:styleId="Heading2">
    <w:name w:val="Heading 2"/>
    <w:basedOn w:val="Normal"/>
    <w:pPr>
      <w:spacing w:before="240" w:after="80"/>
    </w:pPr>
    <w:rPr>
      <w:b/>
      <w:sz w:val="28"/>
    </w:rPr>
  </w:style>
  <w:style w:type="paragraph" w:styleId="Heading3">
    <w:name w:val="Heading 3"/>
    <w:basedOn w:val="Normal"/>
    <w:pPr>
      <w:spacing w:before="240" w:after="80"/>
    </w:pPr>
    <w:rPr>
      <w:b/>
      <w:sz w:val="24"/>
    </w:rPr>
  </w:style>
  <w:style w:type="paragraph" w:styleId="Code">
    <w:name w:val="Code"/>
    <w:basedOn w:val="Normal"/>
    <w:pPr>
      <w:spacing w:after="0"/>
      <w:shd w:val="clear" w:fill="F2F2F2"/>
    </w:pPr>
    <w:rPr>
      <w:sz w:val="2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